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B66" w14:textId="3684E5EE" w:rsidR="00295F59" w:rsidRDefault="00371997" w:rsidP="003A4B82">
      <w:r>
        <w:rPr>
          <w:noProof/>
        </w:rPr>
        <w:drawing>
          <wp:anchor distT="0" distB="0" distL="114300" distR="114300" simplePos="0" relativeHeight="251659264" behindDoc="0" locked="0" layoutInCell="1" allowOverlap="1" wp14:anchorId="06ACA252" wp14:editId="66B9DF3B">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5518E313" w14:textId="77777777" w:rsidR="00295F59" w:rsidRDefault="00295F59" w:rsidP="003A4B82"/>
    <w:p w14:paraId="54724CC7" w14:textId="77777777" w:rsidR="00295F59" w:rsidRDefault="00295F59" w:rsidP="003A4B82"/>
    <w:p w14:paraId="0C220252" w14:textId="031422BA" w:rsidR="00535327" w:rsidRDefault="00D60669" w:rsidP="003A4B82">
      <w:r>
        <w:tab/>
      </w:r>
    </w:p>
    <w:p w14:paraId="4A310E81" w14:textId="5A729F40" w:rsidR="00535327" w:rsidRPr="00535327" w:rsidRDefault="00535327" w:rsidP="003A4B82"/>
    <w:p w14:paraId="53D0E82D" w14:textId="77777777" w:rsidR="003A4B82" w:rsidRDefault="003A4B82" w:rsidP="003A4B82"/>
    <w:p w14:paraId="7ED3834B" w14:textId="77777777" w:rsidR="003A4B82" w:rsidRDefault="003A4B82" w:rsidP="003A4B82"/>
    <w:p w14:paraId="237E51A2" w14:textId="77777777" w:rsidR="00532963" w:rsidRDefault="00532963" w:rsidP="00532963">
      <w:pPr>
        <w:pStyle w:val="Title"/>
        <w:rPr>
          <w:highlight w:val="yellow"/>
        </w:rPr>
      </w:pPr>
    </w:p>
    <w:p w14:paraId="04A4676C" w14:textId="77777777" w:rsidR="00532963" w:rsidRDefault="00532963" w:rsidP="00532963">
      <w:pPr>
        <w:pStyle w:val="Title"/>
        <w:rPr>
          <w:highlight w:val="yellow"/>
        </w:rPr>
      </w:pPr>
    </w:p>
    <w:p w14:paraId="1D8B62B2" w14:textId="54734E36" w:rsidR="00532963" w:rsidRDefault="00A35845" w:rsidP="00532963">
      <w:pPr>
        <w:pStyle w:val="Title"/>
        <w:rPr>
          <w:highlight w:val="yellow"/>
        </w:rPr>
      </w:pPr>
      <w:r>
        <w:rPr>
          <w:noProof/>
        </w:rPr>
        <w:drawing>
          <wp:inline distT="0" distB="0" distL="0" distR="0" wp14:anchorId="668C5EC2" wp14:editId="0471F837">
            <wp:extent cx="2234242" cy="1077988"/>
            <wp:effectExtent l="0" t="0" r="0" b="8255"/>
            <wp:docPr id="19" name="Picture 18" descr="K:\09 PCF\NSD\NMCNs &amp; NMDNs\Networks\SPAIIN\Workstream\Comms&amp;Eng\Logo\Logo minus words.jpg"/>
            <wp:cNvGraphicFramePr/>
            <a:graphic xmlns:a="http://schemas.openxmlformats.org/drawingml/2006/main">
              <a:graphicData uri="http://schemas.openxmlformats.org/drawingml/2006/picture">
                <pic:pic xmlns:pic="http://schemas.openxmlformats.org/drawingml/2006/picture">
                  <pic:nvPicPr>
                    <pic:cNvPr id="19" name="Picture 18" descr="K:\09 PCF\NSD\NMCNs &amp; NMDNs\Networks\SPAIIN\Workstream\Comms&amp;Eng\Logo\Logo minus word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077" cy="1088041"/>
                    </a:xfrm>
                    <a:prstGeom prst="rect">
                      <a:avLst/>
                    </a:prstGeom>
                    <a:noFill/>
                    <a:ln>
                      <a:noFill/>
                    </a:ln>
                  </pic:spPr>
                </pic:pic>
              </a:graphicData>
            </a:graphic>
          </wp:inline>
        </w:drawing>
      </w:r>
    </w:p>
    <w:p w14:paraId="0A051643" w14:textId="77777777" w:rsidR="00532963" w:rsidRDefault="00532963" w:rsidP="00532963">
      <w:pPr>
        <w:pStyle w:val="Title"/>
        <w:rPr>
          <w:highlight w:val="yellow"/>
        </w:rPr>
      </w:pPr>
    </w:p>
    <w:p w14:paraId="244B924F" w14:textId="169BEC10" w:rsidR="00295F59" w:rsidRDefault="00A35845" w:rsidP="003A4B82">
      <w:pPr>
        <w:spacing w:line="276" w:lineRule="auto"/>
      </w:pPr>
      <w:r w:rsidRPr="00A35845">
        <w:rPr>
          <w:b/>
          <w:color w:val="004785"/>
          <w:sz w:val="44"/>
          <w:szCs w:val="44"/>
        </w:rPr>
        <w:t>Scottish Paediatric &amp; Adult Infection &amp; Immunology Network (SPAIIN)</w:t>
      </w:r>
    </w:p>
    <w:p w14:paraId="5E20EC6C" w14:textId="77777777" w:rsidR="00A35845" w:rsidRDefault="00A35845" w:rsidP="003A4B82">
      <w:pPr>
        <w:spacing w:line="276" w:lineRule="auto"/>
        <w:rPr>
          <w:bCs/>
          <w:color w:val="004785"/>
          <w:sz w:val="44"/>
          <w:szCs w:val="44"/>
        </w:rPr>
      </w:pPr>
    </w:p>
    <w:p w14:paraId="7C0EC77E" w14:textId="669786F2" w:rsidR="005A1EDC" w:rsidRDefault="00A35845" w:rsidP="003A4B82">
      <w:pPr>
        <w:spacing w:line="276" w:lineRule="auto"/>
      </w:pPr>
      <w:r w:rsidRPr="00A35845">
        <w:rPr>
          <w:bCs/>
          <w:color w:val="004785"/>
          <w:sz w:val="44"/>
          <w:szCs w:val="44"/>
        </w:rPr>
        <w:t>Paediatric Hepatitis C Pathway</w:t>
      </w:r>
    </w:p>
    <w:p w14:paraId="671DF33F" w14:textId="77777777" w:rsidR="005A1EDC" w:rsidRDefault="005A1EDC" w:rsidP="003A4B82">
      <w:pPr>
        <w:spacing w:line="276" w:lineRule="auto"/>
      </w:pPr>
    </w:p>
    <w:p w14:paraId="3FB6CFDA" w14:textId="301AC466" w:rsidR="00295F59" w:rsidRDefault="00295F59" w:rsidP="003A4B82">
      <w:pPr>
        <w:spacing w:line="276" w:lineRule="auto"/>
      </w:pPr>
    </w:p>
    <w:p w14:paraId="0DED5CBE" w14:textId="660B96C6" w:rsidR="00A35845" w:rsidRDefault="00A35845" w:rsidP="003A4B82">
      <w:pPr>
        <w:spacing w:line="276" w:lineRule="auto"/>
      </w:pPr>
    </w:p>
    <w:p w14:paraId="49300170" w14:textId="77777777" w:rsidR="00A35845" w:rsidRDefault="00A35845" w:rsidP="003A4B82">
      <w:pPr>
        <w:spacing w:line="276" w:lineRule="auto"/>
      </w:pPr>
    </w:p>
    <w:p w14:paraId="29D0CD08" w14:textId="77777777" w:rsidR="00295F59" w:rsidRDefault="00295F59" w:rsidP="003A4B82">
      <w:pPr>
        <w:spacing w:line="276" w:lineRule="auto"/>
      </w:pPr>
    </w:p>
    <w:p w14:paraId="70B26BF5" w14:textId="77777777" w:rsidR="00295F59" w:rsidRDefault="00295F59" w:rsidP="003A4B82">
      <w:pPr>
        <w:spacing w:line="276" w:lineRule="auto"/>
      </w:pPr>
    </w:p>
    <w:p w14:paraId="0BB9A715" w14:textId="3C99A4F3" w:rsidR="00295F59" w:rsidRPr="00532963" w:rsidRDefault="00295F59" w:rsidP="003A4B82">
      <w:pPr>
        <w:spacing w:line="276" w:lineRule="auto"/>
        <w:rPr>
          <w:b/>
          <w:bCs/>
        </w:rPr>
      </w:pPr>
      <w:r w:rsidRPr="00532963">
        <w:rPr>
          <w:b/>
          <w:bCs/>
        </w:rPr>
        <w:t>NOTE</w:t>
      </w:r>
    </w:p>
    <w:p w14:paraId="6C4B81DB" w14:textId="2F5EC66B" w:rsidR="00295F59" w:rsidRPr="00295F59" w:rsidRDefault="00295F59" w:rsidP="003A4B82">
      <w:pPr>
        <w:spacing w:line="276" w:lineRule="auto"/>
      </w:pPr>
      <w:r w:rsidRPr="00295F59">
        <w:t xml:space="preserve">This guideline is not intended to be construed or to serve as a standard of care. Standards of care are determined </w:t>
      </w:r>
      <w:r w:rsidR="00532963" w:rsidRPr="00295F59">
        <w:t>based on</w:t>
      </w:r>
      <w:r w:rsidRPr="00295F59">
        <w:t xml:space="preserve"> all clinical data available for an individual case and are subject to change as scientific knowledge and technology advance and patterns of care evolve. Adherence to guideline recommendations will not ensure</w:t>
      </w:r>
      <w:r w:rsidRPr="003A4B82">
        <w:t xml:space="preserve"> a successful outcome in every case, nor should they be construed as including all proper methods of care or excluding</w:t>
      </w:r>
      <w:r w:rsidRPr="00295F59">
        <w:t xml:space="preserve">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sdt>
      <w:sdtPr>
        <w:rPr>
          <w:rFonts w:ascii="Arial" w:eastAsiaTheme="minorEastAsia" w:hAnsi="Arial" w:cs="Arial"/>
          <w:color w:val="000000" w:themeColor="text1"/>
          <w:sz w:val="24"/>
          <w:szCs w:val="24"/>
          <w:lang w:val="en-GB" w:eastAsia="en-GB"/>
        </w:rPr>
        <w:id w:val="-134649069"/>
        <w:docPartObj>
          <w:docPartGallery w:val="Table of Contents"/>
          <w:docPartUnique/>
        </w:docPartObj>
      </w:sdtPr>
      <w:sdtEndPr>
        <w:rPr>
          <w:b/>
          <w:bCs/>
          <w:noProof/>
          <w:sz w:val="28"/>
          <w:szCs w:val="28"/>
        </w:rPr>
      </w:sdtEndPr>
      <w:sdtContent>
        <w:p w14:paraId="084C9CF3" w14:textId="5DBC49F7" w:rsidR="003A4B82" w:rsidRPr="003A4B82" w:rsidRDefault="003A4B82" w:rsidP="003A4B82">
          <w:pPr>
            <w:pStyle w:val="TOCHeading"/>
            <w:spacing w:line="276" w:lineRule="auto"/>
            <w:rPr>
              <w:rFonts w:ascii="Arial" w:eastAsiaTheme="minorHAnsi" w:hAnsi="Arial" w:cs="Arial"/>
              <w:b/>
              <w:color w:val="004785"/>
              <w:lang w:val="en-GB"/>
            </w:rPr>
          </w:pPr>
          <w:r w:rsidRPr="003A4B82">
            <w:rPr>
              <w:rFonts w:ascii="Arial" w:eastAsiaTheme="minorHAnsi" w:hAnsi="Arial" w:cs="Arial"/>
              <w:b/>
              <w:color w:val="004785"/>
              <w:lang w:val="en-GB"/>
            </w:rPr>
            <w:t>Contents</w:t>
          </w:r>
        </w:p>
        <w:p w14:paraId="04B1B922" w14:textId="1E2DD91E" w:rsidR="002F374A" w:rsidRDefault="003A4B82" w:rsidP="002F374A">
          <w:pPr>
            <w:pStyle w:val="TOC1"/>
            <w:tabs>
              <w:tab w:val="right" w:leader="dot" w:pos="9016"/>
            </w:tabs>
            <w:spacing w:line="360" w:lineRule="auto"/>
            <w:rPr>
              <w:rFonts w:asciiTheme="minorHAnsi" w:hAnsiTheme="minorHAnsi" w:cstheme="minorBidi"/>
              <w:noProof/>
              <w:color w:val="auto"/>
              <w:sz w:val="22"/>
              <w:szCs w:val="22"/>
            </w:rPr>
          </w:pPr>
          <w:r w:rsidRPr="003A4B82">
            <w:rPr>
              <w:sz w:val="28"/>
              <w:szCs w:val="28"/>
            </w:rPr>
            <w:fldChar w:fldCharType="begin"/>
          </w:r>
          <w:r w:rsidRPr="003A4B82">
            <w:rPr>
              <w:sz w:val="28"/>
              <w:szCs w:val="28"/>
            </w:rPr>
            <w:instrText xml:space="preserve"> TOC \o "1-3" \h \z \u </w:instrText>
          </w:r>
          <w:r w:rsidRPr="003A4B82">
            <w:rPr>
              <w:sz w:val="28"/>
              <w:szCs w:val="28"/>
            </w:rPr>
            <w:fldChar w:fldCharType="separate"/>
          </w:r>
          <w:hyperlink w:anchor="_Toc134193766" w:history="1">
            <w:r w:rsidR="002F374A" w:rsidRPr="006B5FBE">
              <w:rPr>
                <w:rStyle w:val="Hyperlink"/>
                <w:noProof/>
              </w:rPr>
              <w:t>Paediatric Hepatitis C virus (HCV)</w:t>
            </w:r>
            <w:r w:rsidR="002F374A">
              <w:rPr>
                <w:noProof/>
                <w:webHidden/>
              </w:rPr>
              <w:tab/>
            </w:r>
            <w:r w:rsidR="002F374A">
              <w:rPr>
                <w:noProof/>
                <w:webHidden/>
              </w:rPr>
              <w:fldChar w:fldCharType="begin"/>
            </w:r>
            <w:r w:rsidR="002F374A">
              <w:rPr>
                <w:noProof/>
                <w:webHidden/>
              </w:rPr>
              <w:instrText xml:space="preserve"> PAGEREF _Toc134193766 \h </w:instrText>
            </w:r>
            <w:r w:rsidR="002F374A">
              <w:rPr>
                <w:noProof/>
                <w:webHidden/>
              </w:rPr>
            </w:r>
            <w:r w:rsidR="002F374A">
              <w:rPr>
                <w:noProof/>
                <w:webHidden/>
              </w:rPr>
              <w:fldChar w:fldCharType="separate"/>
            </w:r>
            <w:r w:rsidR="002F374A">
              <w:rPr>
                <w:noProof/>
                <w:webHidden/>
              </w:rPr>
              <w:t>3</w:t>
            </w:r>
            <w:r w:rsidR="002F374A">
              <w:rPr>
                <w:noProof/>
                <w:webHidden/>
              </w:rPr>
              <w:fldChar w:fldCharType="end"/>
            </w:r>
          </w:hyperlink>
        </w:p>
        <w:p w14:paraId="3118094C" w14:textId="659E2638"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67" w:history="1">
            <w:r w:rsidR="002F374A" w:rsidRPr="006B5FBE">
              <w:rPr>
                <w:rStyle w:val="Hyperlink"/>
                <w:noProof/>
              </w:rPr>
              <w:t>Perinatal HCV transmission</w:t>
            </w:r>
            <w:r w:rsidR="002F374A">
              <w:rPr>
                <w:noProof/>
                <w:webHidden/>
              </w:rPr>
              <w:tab/>
            </w:r>
            <w:r w:rsidR="002F374A">
              <w:rPr>
                <w:noProof/>
                <w:webHidden/>
              </w:rPr>
              <w:fldChar w:fldCharType="begin"/>
            </w:r>
            <w:r w:rsidR="002F374A">
              <w:rPr>
                <w:noProof/>
                <w:webHidden/>
              </w:rPr>
              <w:instrText xml:space="preserve"> PAGEREF _Toc134193767 \h </w:instrText>
            </w:r>
            <w:r w:rsidR="002F374A">
              <w:rPr>
                <w:noProof/>
                <w:webHidden/>
              </w:rPr>
            </w:r>
            <w:r w:rsidR="002F374A">
              <w:rPr>
                <w:noProof/>
                <w:webHidden/>
              </w:rPr>
              <w:fldChar w:fldCharType="separate"/>
            </w:r>
            <w:r w:rsidR="002F374A">
              <w:rPr>
                <w:noProof/>
                <w:webHidden/>
              </w:rPr>
              <w:t>3</w:t>
            </w:r>
            <w:r w:rsidR="002F374A">
              <w:rPr>
                <w:noProof/>
                <w:webHidden/>
              </w:rPr>
              <w:fldChar w:fldCharType="end"/>
            </w:r>
          </w:hyperlink>
        </w:p>
        <w:p w14:paraId="02296814" w14:textId="2EBB0767"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68" w:history="1">
            <w:r w:rsidR="002F374A" w:rsidRPr="006B5FBE">
              <w:rPr>
                <w:rStyle w:val="Hyperlink"/>
                <w:noProof/>
              </w:rPr>
              <w:t>Testing of infants born to Hep C RNA PCR positive women</w:t>
            </w:r>
            <w:r w:rsidR="002F374A">
              <w:rPr>
                <w:noProof/>
                <w:webHidden/>
              </w:rPr>
              <w:tab/>
            </w:r>
            <w:r w:rsidR="002F374A">
              <w:rPr>
                <w:noProof/>
                <w:webHidden/>
              </w:rPr>
              <w:fldChar w:fldCharType="begin"/>
            </w:r>
            <w:r w:rsidR="002F374A">
              <w:rPr>
                <w:noProof/>
                <w:webHidden/>
              </w:rPr>
              <w:instrText xml:space="preserve"> PAGEREF _Toc134193768 \h </w:instrText>
            </w:r>
            <w:r w:rsidR="002F374A">
              <w:rPr>
                <w:noProof/>
                <w:webHidden/>
              </w:rPr>
            </w:r>
            <w:r w:rsidR="002F374A">
              <w:rPr>
                <w:noProof/>
                <w:webHidden/>
              </w:rPr>
              <w:fldChar w:fldCharType="separate"/>
            </w:r>
            <w:r w:rsidR="002F374A">
              <w:rPr>
                <w:noProof/>
                <w:webHidden/>
              </w:rPr>
              <w:t>3</w:t>
            </w:r>
            <w:r w:rsidR="002F374A">
              <w:rPr>
                <w:noProof/>
                <w:webHidden/>
              </w:rPr>
              <w:fldChar w:fldCharType="end"/>
            </w:r>
          </w:hyperlink>
        </w:p>
        <w:p w14:paraId="098A74FA" w14:textId="39E45EAD"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69" w:history="1">
            <w:r w:rsidR="002F374A" w:rsidRPr="006B5FBE">
              <w:rPr>
                <w:rStyle w:val="Hyperlink"/>
                <w:noProof/>
              </w:rPr>
              <w:t>Testing of children</w:t>
            </w:r>
            <w:r w:rsidR="002F374A">
              <w:rPr>
                <w:noProof/>
                <w:webHidden/>
              </w:rPr>
              <w:tab/>
            </w:r>
            <w:r w:rsidR="002F374A">
              <w:rPr>
                <w:noProof/>
                <w:webHidden/>
              </w:rPr>
              <w:fldChar w:fldCharType="begin"/>
            </w:r>
            <w:r w:rsidR="002F374A">
              <w:rPr>
                <w:noProof/>
                <w:webHidden/>
              </w:rPr>
              <w:instrText xml:space="preserve"> PAGEREF _Toc134193769 \h </w:instrText>
            </w:r>
            <w:r w:rsidR="002F374A">
              <w:rPr>
                <w:noProof/>
                <w:webHidden/>
              </w:rPr>
            </w:r>
            <w:r w:rsidR="002F374A">
              <w:rPr>
                <w:noProof/>
                <w:webHidden/>
              </w:rPr>
              <w:fldChar w:fldCharType="separate"/>
            </w:r>
            <w:r w:rsidR="002F374A">
              <w:rPr>
                <w:noProof/>
                <w:webHidden/>
              </w:rPr>
              <w:t>3</w:t>
            </w:r>
            <w:r w:rsidR="002F374A">
              <w:rPr>
                <w:noProof/>
                <w:webHidden/>
              </w:rPr>
              <w:fldChar w:fldCharType="end"/>
            </w:r>
          </w:hyperlink>
        </w:p>
        <w:p w14:paraId="1FB646A8" w14:textId="6AD30464"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70" w:history="1">
            <w:r w:rsidR="002F374A" w:rsidRPr="006B5FBE">
              <w:rPr>
                <w:rStyle w:val="Hyperlink"/>
                <w:noProof/>
              </w:rPr>
              <w:t>Monitoring of paediatric HCV</w:t>
            </w:r>
            <w:r w:rsidR="002F374A">
              <w:rPr>
                <w:noProof/>
                <w:webHidden/>
              </w:rPr>
              <w:tab/>
            </w:r>
            <w:r w:rsidR="002F374A">
              <w:rPr>
                <w:noProof/>
                <w:webHidden/>
              </w:rPr>
              <w:fldChar w:fldCharType="begin"/>
            </w:r>
            <w:r w:rsidR="002F374A">
              <w:rPr>
                <w:noProof/>
                <w:webHidden/>
              </w:rPr>
              <w:instrText xml:space="preserve"> PAGEREF _Toc134193770 \h </w:instrText>
            </w:r>
            <w:r w:rsidR="002F374A">
              <w:rPr>
                <w:noProof/>
                <w:webHidden/>
              </w:rPr>
            </w:r>
            <w:r w:rsidR="002F374A">
              <w:rPr>
                <w:noProof/>
                <w:webHidden/>
              </w:rPr>
              <w:fldChar w:fldCharType="separate"/>
            </w:r>
            <w:r w:rsidR="002F374A">
              <w:rPr>
                <w:noProof/>
                <w:webHidden/>
              </w:rPr>
              <w:t>4</w:t>
            </w:r>
            <w:r w:rsidR="002F374A">
              <w:rPr>
                <w:noProof/>
                <w:webHidden/>
              </w:rPr>
              <w:fldChar w:fldCharType="end"/>
            </w:r>
          </w:hyperlink>
        </w:p>
        <w:p w14:paraId="2EC16F78" w14:textId="05D4D727"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71" w:history="1">
            <w:r w:rsidR="002F374A" w:rsidRPr="006B5FBE">
              <w:rPr>
                <w:rStyle w:val="Hyperlink"/>
                <w:noProof/>
              </w:rPr>
              <w:t>Treatment of paediatric HCV</w:t>
            </w:r>
            <w:r w:rsidR="002F374A">
              <w:rPr>
                <w:noProof/>
                <w:webHidden/>
              </w:rPr>
              <w:tab/>
            </w:r>
            <w:r w:rsidR="002F374A">
              <w:rPr>
                <w:noProof/>
                <w:webHidden/>
              </w:rPr>
              <w:fldChar w:fldCharType="begin"/>
            </w:r>
            <w:r w:rsidR="002F374A">
              <w:rPr>
                <w:noProof/>
                <w:webHidden/>
              </w:rPr>
              <w:instrText xml:space="preserve"> PAGEREF _Toc134193771 \h </w:instrText>
            </w:r>
            <w:r w:rsidR="002F374A">
              <w:rPr>
                <w:noProof/>
                <w:webHidden/>
              </w:rPr>
            </w:r>
            <w:r w:rsidR="002F374A">
              <w:rPr>
                <w:noProof/>
                <w:webHidden/>
              </w:rPr>
              <w:fldChar w:fldCharType="separate"/>
            </w:r>
            <w:r w:rsidR="002F374A">
              <w:rPr>
                <w:noProof/>
                <w:webHidden/>
              </w:rPr>
              <w:t>4</w:t>
            </w:r>
            <w:r w:rsidR="002F374A">
              <w:rPr>
                <w:noProof/>
                <w:webHidden/>
              </w:rPr>
              <w:fldChar w:fldCharType="end"/>
            </w:r>
          </w:hyperlink>
        </w:p>
        <w:p w14:paraId="4DDE0E05" w14:textId="23D4E7C7"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72" w:history="1">
            <w:r w:rsidR="002F374A" w:rsidRPr="006B5FBE">
              <w:rPr>
                <w:rStyle w:val="Hyperlink"/>
                <w:noProof/>
              </w:rPr>
              <w:t>Appendix A: Infant HCV testing algorithm (NSD610-019.16)</w:t>
            </w:r>
            <w:r w:rsidR="002F374A">
              <w:rPr>
                <w:noProof/>
                <w:webHidden/>
              </w:rPr>
              <w:tab/>
            </w:r>
            <w:r w:rsidR="002F374A">
              <w:rPr>
                <w:noProof/>
                <w:webHidden/>
              </w:rPr>
              <w:fldChar w:fldCharType="begin"/>
            </w:r>
            <w:r w:rsidR="002F374A">
              <w:rPr>
                <w:noProof/>
                <w:webHidden/>
              </w:rPr>
              <w:instrText xml:space="preserve"> PAGEREF _Toc134193772 \h </w:instrText>
            </w:r>
            <w:r w:rsidR="002F374A">
              <w:rPr>
                <w:noProof/>
                <w:webHidden/>
              </w:rPr>
            </w:r>
            <w:r w:rsidR="002F374A">
              <w:rPr>
                <w:noProof/>
                <w:webHidden/>
              </w:rPr>
              <w:fldChar w:fldCharType="separate"/>
            </w:r>
            <w:r w:rsidR="002F374A">
              <w:rPr>
                <w:noProof/>
                <w:webHidden/>
              </w:rPr>
              <w:t>6</w:t>
            </w:r>
            <w:r w:rsidR="002F374A">
              <w:rPr>
                <w:noProof/>
                <w:webHidden/>
              </w:rPr>
              <w:fldChar w:fldCharType="end"/>
            </w:r>
          </w:hyperlink>
        </w:p>
        <w:p w14:paraId="5ACCB995" w14:textId="4BB8D49E" w:rsidR="002F374A" w:rsidRDefault="002C7683" w:rsidP="002F374A">
          <w:pPr>
            <w:pStyle w:val="TOC1"/>
            <w:tabs>
              <w:tab w:val="right" w:leader="dot" w:pos="9016"/>
            </w:tabs>
            <w:spacing w:line="360" w:lineRule="auto"/>
            <w:rPr>
              <w:rFonts w:asciiTheme="minorHAnsi" w:hAnsiTheme="minorHAnsi" w:cstheme="minorBidi"/>
              <w:noProof/>
              <w:color w:val="auto"/>
              <w:sz w:val="22"/>
              <w:szCs w:val="22"/>
            </w:rPr>
          </w:pPr>
          <w:hyperlink w:anchor="_Toc134193773" w:history="1">
            <w:r w:rsidR="002F374A" w:rsidRPr="006B5FBE">
              <w:rPr>
                <w:rStyle w:val="Hyperlink"/>
                <w:noProof/>
              </w:rPr>
              <w:t>Appendix B: Paediatric and Adolescent Hepatitis C (HCV) National MDT Assessment and Referral Form</w:t>
            </w:r>
            <w:r w:rsidR="002F374A">
              <w:rPr>
                <w:noProof/>
                <w:webHidden/>
              </w:rPr>
              <w:tab/>
            </w:r>
            <w:r w:rsidR="002F374A">
              <w:rPr>
                <w:noProof/>
                <w:webHidden/>
              </w:rPr>
              <w:fldChar w:fldCharType="begin"/>
            </w:r>
            <w:r w:rsidR="002F374A">
              <w:rPr>
                <w:noProof/>
                <w:webHidden/>
              </w:rPr>
              <w:instrText xml:space="preserve"> PAGEREF _Toc134193773 \h </w:instrText>
            </w:r>
            <w:r w:rsidR="002F374A">
              <w:rPr>
                <w:noProof/>
                <w:webHidden/>
              </w:rPr>
            </w:r>
            <w:r w:rsidR="002F374A">
              <w:rPr>
                <w:noProof/>
                <w:webHidden/>
              </w:rPr>
              <w:fldChar w:fldCharType="separate"/>
            </w:r>
            <w:r w:rsidR="002F374A">
              <w:rPr>
                <w:noProof/>
                <w:webHidden/>
              </w:rPr>
              <w:t>7</w:t>
            </w:r>
            <w:r w:rsidR="002F374A">
              <w:rPr>
                <w:noProof/>
                <w:webHidden/>
              </w:rPr>
              <w:fldChar w:fldCharType="end"/>
            </w:r>
          </w:hyperlink>
        </w:p>
        <w:p w14:paraId="7E2DDB22" w14:textId="7AF87087" w:rsidR="003A4B82" w:rsidRPr="003A4B82" w:rsidRDefault="003A4B82" w:rsidP="003A4B82">
          <w:pPr>
            <w:spacing w:line="276" w:lineRule="auto"/>
            <w:rPr>
              <w:sz w:val="28"/>
              <w:szCs w:val="28"/>
            </w:rPr>
          </w:pPr>
          <w:r w:rsidRPr="003A4B82">
            <w:rPr>
              <w:b/>
              <w:bCs/>
              <w:noProof/>
              <w:sz w:val="28"/>
              <w:szCs w:val="28"/>
            </w:rPr>
            <w:fldChar w:fldCharType="end"/>
          </w:r>
        </w:p>
      </w:sdtContent>
    </w:sdt>
    <w:p w14:paraId="5B20C576" w14:textId="1CC880F7" w:rsidR="001F0054" w:rsidRDefault="001F0054">
      <w:pPr>
        <w:spacing w:after="200" w:line="276" w:lineRule="auto"/>
        <w:rPr>
          <w:rFonts w:eastAsiaTheme="minorHAnsi"/>
          <w:b/>
          <w:color w:val="004785"/>
          <w:sz w:val="32"/>
          <w:szCs w:val="32"/>
          <w:lang w:eastAsia="en-US"/>
        </w:rPr>
      </w:pPr>
      <w:r>
        <w:br w:type="page"/>
      </w:r>
    </w:p>
    <w:p w14:paraId="4CB4158A" w14:textId="77777777" w:rsidR="001F0054" w:rsidRPr="001F0054" w:rsidRDefault="001F0054" w:rsidP="001F0054">
      <w:pPr>
        <w:pStyle w:val="Heading1"/>
      </w:pPr>
      <w:bookmarkStart w:id="0" w:name="_Toc134193766"/>
      <w:r w:rsidRPr="001F0054">
        <w:lastRenderedPageBreak/>
        <w:t>Paediatric Hepatitis C virus (HCV)</w:t>
      </w:r>
      <w:bookmarkEnd w:id="0"/>
    </w:p>
    <w:p w14:paraId="33AB3B55" w14:textId="77777777" w:rsidR="001F0054" w:rsidRPr="001F0054" w:rsidRDefault="001F0054" w:rsidP="001F0054">
      <w:pPr>
        <w:numPr>
          <w:ilvl w:val="0"/>
          <w:numId w:val="38"/>
        </w:numPr>
        <w:ind w:left="714" w:hanging="357"/>
        <w:rPr>
          <w:color w:val="auto"/>
        </w:rPr>
      </w:pPr>
      <w:r w:rsidRPr="001F0054">
        <w:rPr>
          <w:color w:val="auto"/>
        </w:rPr>
        <w:t>Mother to child transmission rate for HCV is around 4-6%, and there are currently no proven obstetric interventions which can modify the risk of transmission</w:t>
      </w:r>
    </w:p>
    <w:p w14:paraId="4B0FEA72" w14:textId="77777777" w:rsidR="001F0054" w:rsidRPr="001F0054" w:rsidRDefault="001F0054" w:rsidP="001F0054">
      <w:pPr>
        <w:numPr>
          <w:ilvl w:val="0"/>
          <w:numId w:val="38"/>
        </w:numPr>
        <w:ind w:left="714" w:hanging="357"/>
        <w:rPr>
          <w:color w:val="auto"/>
        </w:rPr>
      </w:pPr>
      <w:r w:rsidRPr="001F0054">
        <w:rPr>
          <w:color w:val="auto"/>
        </w:rPr>
        <w:t>Advances in HCV treatment have resulted in up to 98% cure rates. Paediatric formulations of treatment are now licensed from 3 years of age. Treatment is safe and effective for children</w:t>
      </w:r>
    </w:p>
    <w:p w14:paraId="3CA1E497" w14:textId="77777777" w:rsidR="001F0054" w:rsidRPr="001F0054" w:rsidRDefault="001F0054" w:rsidP="001F0054">
      <w:pPr>
        <w:numPr>
          <w:ilvl w:val="0"/>
          <w:numId w:val="38"/>
        </w:numPr>
        <w:ind w:left="714" w:hanging="357"/>
        <w:rPr>
          <w:color w:val="auto"/>
        </w:rPr>
      </w:pPr>
      <w:r w:rsidRPr="001F0054">
        <w:rPr>
          <w:color w:val="auto"/>
        </w:rPr>
        <w:t xml:space="preserve">All children with HCV should be followed regularly in clinic, liver health and viral status should be </w:t>
      </w:r>
      <w:proofErr w:type="gramStart"/>
      <w:r w:rsidRPr="001F0054">
        <w:rPr>
          <w:color w:val="auto"/>
        </w:rPr>
        <w:t>monitored</w:t>
      </w:r>
      <w:proofErr w:type="gramEnd"/>
      <w:r w:rsidRPr="001F0054">
        <w:rPr>
          <w:color w:val="auto"/>
        </w:rPr>
        <w:t xml:space="preserve"> and they should be offered treatment as soon as reasonably possible</w:t>
      </w:r>
    </w:p>
    <w:p w14:paraId="29CB5225" w14:textId="77777777" w:rsidR="001F0054" w:rsidRPr="001F0054" w:rsidRDefault="001F0054" w:rsidP="001F0054">
      <w:pPr>
        <w:ind w:left="714"/>
        <w:rPr>
          <w:color w:val="auto"/>
        </w:rPr>
      </w:pPr>
    </w:p>
    <w:p w14:paraId="781B0E62" w14:textId="77777777" w:rsidR="001F0054" w:rsidRPr="001F0054" w:rsidRDefault="001F0054" w:rsidP="001F0054">
      <w:pPr>
        <w:pStyle w:val="Heading1"/>
      </w:pPr>
      <w:bookmarkStart w:id="1" w:name="_Toc134193767"/>
      <w:r w:rsidRPr="001F0054">
        <w:t>Perinatal HCV transmission</w:t>
      </w:r>
      <w:bookmarkEnd w:id="1"/>
    </w:p>
    <w:p w14:paraId="4103C79A" w14:textId="77777777" w:rsidR="001F0054" w:rsidRPr="001F0054" w:rsidRDefault="001F0054" w:rsidP="001F0054">
      <w:pPr>
        <w:numPr>
          <w:ilvl w:val="0"/>
          <w:numId w:val="40"/>
        </w:numPr>
        <w:ind w:left="714" w:hanging="357"/>
        <w:rPr>
          <w:color w:val="auto"/>
        </w:rPr>
      </w:pPr>
      <w:r w:rsidRPr="001F0054">
        <w:rPr>
          <w:color w:val="auto"/>
        </w:rPr>
        <w:t>Currently universal testing of pregnant women has not been adopted</w:t>
      </w:r>
    </w:p>
    <w:p w14:paraId="490D3E7B" w14:textId="77777777" w:rsidR="001F0054" w:rsidRPr="001F0054" w:rsidRDefault="001F0054" w:rsidP="001F0054">
      <w:pPr>
        <w:numPr>
          <w:ilvl w:val="0"/>
          <w:numId w:val="40"/>
        </w:numPr>
        <w:ind w:left="714" w:hanging="357"/>
        <w:rPr>
          <w:color w:val="auto"/>
        </w:rPr>
      </w:pPr>
      <w:r w:rsidRPr="001F0054">
        <w:rPr>
          <w:color w:val="auto"/>
        </w:rPr>
        <w:t xml:space="preserve">Individual health boards and hospitals are offering selective antenatal screening strategies </w:t>
      </w:r>
    </w:p>
    <w:p w14:paraId="1C22BEDD" w14:textId="77777777" w:rsidR="001F0054" w:rsidRPr="001F0054" w:rsidRDefault="001F0054" w:rsidP="001F0054">
      <w:pPr>
        <w:numPr>
          <w:ilvl w:val="0"/>
          <w:numId w:val="40"/>
        </w:numPr>
        <w:ind w:left="714" w:hanging="357"/>
        <w:rPr>
          <w:color w:val="auto"/>
        </w:rPr>
      </w:pPr>
      <w:r w:rsidRPr="001F0054">
        <w:rPr>
          <w:color w:val="auto"/>
        </w:rPr>
        <w:t>Only women who are found to be RNA PCR positive during pregnancy are viewed as at risk of perinatal transmission</w:t>
      </w:r>
    </w:p>
    <w:p w14:paraId="7C00F761" w14:textId="77777777" w:rsidR="001F0054" w:rsidRPr="001F0054" w:rsidRDefault="001F0054" w:rsidP="001F0054">
      <w:pPr>
        <w:spacing w:after="80"/>
        <w:ind w:left="714"/>
        <w:rPr>
          <w:color w:val="auto"/>
        </w:rPr>
      </w:pPr>
    </w:p>
    <w:p w14:paraId="35B5D6AD" w14:textId="77777777" w:rsidR="001F0054" w:rsidRDefault="001F0054" w:rsidP="001F0054">
      <w:pPr>
        <w:pStyle w:val="Heading1"/>
      </w:pPr>
      <w:bookmarkStart w:id="2" w:name="_Toc134193768"/>
      <w:r w:rsidRPr="001F0054">
        <w:t>Testing of infants born to Hep C RNA PCR positive women</w:t>
      </w:r>
      <w:bookmarkEnd w:id="2"/>
      <w:r w:rsidRPr="001F0054">
        <w:t xml:space="preserve"> </w:t>
      </w:r>
    </w:p>
    <w:p w14:paraId="4C1F2EF0" w14:textId="0F203766" w:rsidR="001F0054" w:rsidRPr="002F374A" w:rsidRDefault="002F374A" w:rsidP="001F0054">
      <w:pPr>
        <w:rPr>
          <w:b/>
          <w:bCs/>
        </w:rPr>
      </w:pPr>
      <w:r w:rsidRPr="002F374A">
        <w:rPr>
          <w:b/>
          <w:bCs/>
        </w:rPr>
        <w:t>S</w:t>
      </w:r>
      <w:r w:rsidR="001F0054" w:rsidRPr="002F374A">
        <w:rPr>
          <w:b/>
          <w:bCs/>
        </w:rPr>
        <w:t>ee Appendix A for algorithm</w:t>
      </w:r>
    </w:p>
    <w:p w14:paraId="635879D6" w14:textId="77777777" w:rsidR="001F0054" w:rsidRPr="001F0054" w:rsidRDefault="001F0054" w:rsidP="001F0054">
      <w:pPr>
        <w:numPr>
          <w:ilvl w:val="0"/>
          <w:numId w:val="39"/>
        </w:numPr>
        <w:ind w:left="714" w:hanging="357"/>
        <w:rPr>
          <w:color w:val="auto"/>
        </w:rPr>
      </w:pPr>
      <w:r w:rsidRPr="001F0054">
        <w:rPr>
          <w:color w:val="auto"/>
        </w:rPr>
        <w:t xml:space="preserve">All infants should be tested at 18 months of age with </w:t>
      </w:r>
      <w:proofErr w:type="gramStart"/>
      <w:r w:rsidRPr="001F0054">
        <w:rPr>
          <w:color w:val="auto"/>
        </w:rPr>
        <w:t>a</w:t>
      </w:r>
      <w:proofErr w:type="gramEnd"/>
      <w:r w:rsidRPr="001F0054">
        <w:rPr>
          <w:color w:val="auto"/>
        </w:rPr>
        <w:t xml:space="preserve"> HCV antibody test</w:t>
      </w:r>
    </w:p>
    <w:p w14:paraId="5446FFFA" w14:textId="77777777" w:rsidR="001F0054" w:rsidRPr="001F0054" w:rsidRDefault="001F0054" w:rsidP="001F0054">
      <w:pPr>
        <w:numPr>
          <w:ilvl w:val="0"/>
          <w:numId w:val="39"/>
        </w:numPr>
        <w:ind w:left="714" w:hanging="357"/>
        <w:rPr>
          <w:color w:val="auto"/>
        </w:rPr>
      </w:pPr>
      <w:r w:rsidRPr="001F0054">
        <w:rPr>
          <w:color w:val="auto"/>
        </w:rPr>
        <w:t xml:space="preserve">If antibody positive, </w:t>
      </w:r>
      <w:proofErr w:type="gramStart"/>
      <w:r w:rsidRPr="001F0054">
        <w:rPr>
          <w:color w:val="auto"/>
        </w:rPr>
        <w:t>a</w:t>
      </w:r>
      <w:proofErr w:type="gramEnd"/>
      <w:r w:rsidRPr="001F0054">
        <w:rPr>
          <w:color w:val="auto"/>
        </w:rPr>
        <w:t xml:space="preserve"> HCV PCR should be added </w:t>
      </w:r>
    </w:p>
    <w:p w14:paraId="42D6EF9D" w14:textId="77777777" w:rsidR="001F0054" w:rsidRPr="001F0054" w:rsidRDefault="001F0054" w:rsidP="001F0054">
      <w:pPr>
        <w:numPr>
          <w:ilvl w:val="0"/>
          <w:numId w:val="39"/>
        </w:numPr>
        <w:ind w:left="714" w:hanging="357"/>
        <w:rPr>
          <w:color w:val="auto"/>
        </w:rPr>
      </w:pPr>
      <w:r w:rsidRPr="001F0054">
        <w:rPr>
          <w:color w:val="auto"/>
        </w:rPr>
        <w:t>If antibody positive and PCR negative, a further antibody and PCR check at 24 months should be arranged</w:t>
      </w:r>
    </w:p>
    <w:p w14:paraId="4AB3330D" w14:textId="77777777" w:rsidR="001F0054" w:rsidRPr="001F0054" w:rsidRDefault="001F0054" w:rsidP="001F0054">
      <w:pPr>
        <w:numPr>
          <w:ilvl w:val="0"/>
          <w:numId w:val="39"/>
        </w:numPr>
        <w:ind w:left="714" w:hanging="357"/>
        <w:rPr>
          <w:color w:val="auto"/>
        </w:rPr>
      </w:pPr>
      <w:r w:rsidRPr="001F0054">
        <w:rPr>
          <w:color w:val="auto"/>
        </w:rPr>
        <w:t xml:space="preserve">If antibody persists at 24 months or PCR positive at either </w:t>
      </w:r>
      <w:proofErr w:type="gramStart"/>
      <w:r w:rsidRPr="001F0054">
        <w:rPr>
          <w:color w:val="auto"/>
        </w:rPr>
        <w:t>point</w:t>
      </w:r>
      <w:proofErr w:type="gramEnd"/>
      <w:r w:rsidRPr="001F0054">
        <w:rPr>
          <w:color w:val="auto"/>
        </w:rPr>
        <w:t xml:space="preserve"> please refer onto/discuss with local paediatric hepatitis services</w:t>
      </w:r>
    </w:p>
    <w:p w14:paraId="57BA4B78" w14:textId="77777777" w:rsidR="001F0054" w:rsidRPr="001F0054" w:rsidRDefault="001F0054" w:rsidP="001F0054">
      <w:pPr>
        <w:spacing w:after="80"/>
        <w:ind w:left="714"/>
        <w:rPr>
          <w:color w:val="auto"/>
        </w:rPr>
      </w:pPr>
    </w:p>
    <w:p w14:paraId="20EE1AF4" w14:textId="77777777" w:rsidR="001F0054" w:rsidRPr="001F0054" w:rsidRDefault="001F0054" w:rsidP="001F0054">
      <w:pPr>
        <w:pStyle w:val="Heading1"/>
      </w:pPr>
      <w:bookmarkStart w:id="3" w:name="_Toc134193769"/>
      <w:r w:rsidRPr="001F0054">
        <w:t>Testing of children</w:t>
      </w:r>
      <w:bookmarkEnd w:id="3"/>
    </w:p>
    <w:p w14:paraId="698CCCBE" w14:textId="77777777" w:rsidR="001F0054" w:rsidRPr="001F0054" w:rsidRDefault="001F0054" w:rsidP="001F0054">
      <w:pPr>
        <w:numPr>
          <w:ilvl w:val="0"/>
          <w:numId w:val="41"/>
        </w:numPr>
        <w:spacing w:after="200" w:line="276" w:lineRule="auto"/>
        <w:rPr>
          <w:color w:val="auto"/>
        </w:rPr>
      </w:pPr>
      <w:r w:rsidRPr="001F0054">
        <w:rPr>
          <w:color w:val="auto"/>
        </w:rPr>
        <w:t>Due to current selective and variable nature of HCV antenatal testing strategies across Scotland, there will be an unknown number of infected women not diagnosed in pregnancy whose children are not identified as at risk</w:t>
      </w:r>
    </w:p>
    <w:p w14:paraId="59978783" w14:textId="77777777" w:rsidR="001F0054" w:rsidRPr="001F0054" w:rsidRDefault="001F0054" w:rsidP="001F0054">
      <w:pPr>
        <w:numPr>
          <w:ilvl w:val="0"/>
          <w:numId w:val="41"/>
        </w:numPr>
        <w:rPr>
          <w:color w:val="auto"/>
        </w:rPr>
      </w:pPr>
      <w:r w:rsidRPr="001F0054">
        <w:rPr>
          <w:color w:val="auto"/>
        </w:rPr>
        <w:t>Clinicians are advised to have a low threshold for offering testing to children particularly if there is:</w:t>
      </w:r>
    </w:p>
    <w:p w14:paraId="25369B69" w14:textId="77777777" w:rsidR="001F0054" w:rsidRPr="001F0054" w:rsidRDefault="001F0054" w:rsidP="001F0054">
      <w:pPr>
        <w:numPr>
          <w:ilvl w:val="1"/>
          <w:numId w:val="41"/>
        </w:numPr>
        <w:rPr>
          <w:color w:val="auto"/>
        </w:rPr>
      </w:pPr>
      <w:r w:rsidRPr="001F0054">
        <w:rPr>
          <w:color w:val="auto"/>
        </w:rPr>
        <w:t>unexplained increase in liver function tests</w:t>
      </w:r>
    </w:p>
    <w:p w14:paraId="3AF4D76C" w14:textId="77777777" w:rsidR="001F0054" w:rsidRPr="001F0054" w:rsidRDefault="001F0054" w:rsidP="001F0054">
      <w:pPr>
        <w:numPr>
          <w:ilvl w:val="1"/>
          <w:numId w:val="41"/>
        </w:numPr>
        <w:rPr>
          <w:color w:val="auto"/>
        </w:rPr>
      </w:pPr>
      <w:r w:rsidRPr="001F0054">
        <w:rPr>
          <w:color w:val="auto"/>
        </w:rPr>
        <w:t>maternal/paternal history of current /past IV drug use</w:t>
      </w:r>
    </w:p>
    <w:p w14:paraId="5DF920A0" w14:textId="77777777" w:rsidR="001F0054" w:rsidRPr="001F0054" w:rsidRDefault="001F0054" w:rsidP="001F0054">
      <w:pPr>
        <w:numPr>
          <w:ilvl w:val="1"/>
          <w:numId w:val="41"/>
        </w:numPr>
        <w:rPr>
          <w:color w:val="auto"/>
        </w:rPr>
      </w:pPr>
      <w:r w:rsidRPr="001F0054">
        <w:rPr>
          <w:color w:val="auto"/>
        </w:rPr>
        <w:t>maternal history of having spent time in prison</w:t>
      </w:r>
    </w:p>
    <w:p w14:paraId="39658486" w14:textId="77777777" w:rsidR="001F0054" w:rsidRPr="001F0054" w:rsidRDefault="001F0054" w:rsidP="001F0054">
      <w:pPr>
        <w:numPr>
          <w:ilvl w:val="1"/>
          <w:numId w:val="41"/>
        </w:numPr>
        <w:rPr>
          <w:color w:val="auto"/>
        </w:rPr>
      </w:pPr>
      <w:r w:rsidRPr="001F0054">
        <w:rPr>
          <w:color w:val="auto"/>
        </w:rPr>
        <w:t>maternal history of blood transfusion prior to 1992</w:t>
      </w:r>
    </w:p>
    <w:p w14:paraId="0699DFD3" w14:textId="7FA2DE9F" w:rsidR="001F0054" w:rsidRPr="001F0054" w:rsidRDefault="001F0054" w:rsidP="001F0054">
      <w:pPr>
        <w:numPr>
          <w:ilvl w:val="1"/>
          <w:numId w:val="41"/>
        </w:numPr>
        <w:rPr>
          <w:color w:val="auto"/>
        </w:rPr>
      </w:pPr>
      <w:r w:rsidRPr="001F0054">
        <w:rPr>
          <w:color w:val="auto"/>
        </w:rPr>
        <w:t xml:space="preserve">child or maternal history of overseas invasive procedures (dental, surgical, immunisation), blood transfusions or tattoos/body </w:t>
      </w:r>
      <w:r w:rsidR="001D1B20" w:rsidRPr="001F0054">
        <w:rPr>
          <w:color w:val="auto"/>
        </w:rPr>
        <w:t>piercing, if</w:t>
      </w:r>
      <w:r w:rsidRPr="001F0054">
        <w:rPr>
          <w:color w:val="auto"/>
        </w:rPr>
        <w:t xml:space="preserve"> sterility of equipment in doubt </w:t>
      </w:r>
    </w:p>
    <w:p w14:paraId="582C5EA5" w14:textId="2D3225DB" w:rsidR="001F0054" w:rsidRPr="001F0054" w:rsidRDefault="001F0054" w:rsidP="001F0054">
      <w:pPr>
        <w:numPr>
          <w:ilvl w:val="1"/>
          <w:numId w:val="41"/>
        </w:numPr>
        <w:rPr>
          <w:color w:val="auto"/>
        </w:rPr>
      </w:pPr>
      <w:r w:rsidRPr="001F0054">
        <w:rPr>
          <w:color w:val="auto"/>
        </w:rPr>
        <w:t xml:space="preserve">child or maternal history of coming from an area of high prevalence – Egypt, </w:t>
      </w:r>
      <w:r w:rsidR="001D1B20" w:rsidRPr="001F0054">
        <w:rPr>
          <w:color w:val="auto"/>
        </w:rPr>
        <w:t>southeast</w:t>
      </w:r>
      <w:r w:rsidRPr="001F0054">
        <w:rPr>
          <w:color w:val="auto"/>
        </w:rPr>
        <w:t xml:space="preserve"> Asia, Africa, southern and eastern Europe</w:t>
      </w:r>
    </w:p>
    <w:p w14:paraId="3937B43D" w14:textId="77777777" w:rsidR="001F0054" w:rsidRPr="001F0054" w:rsidRDefault="001F0054" w:rsidP="001F0054">
      <w:pPr>
        <w:ind w:left="1440"/>
        <w:rPr>
          <w:color w:val="auto"/>
        </w:rPr>
      </w:pPr>
    </w:p>
    <w:p w14:paraId="67926075" w14:textId="77777777" w:rsidR="001F0054" w:rsidRDefault="001F0054">
      <w:pPr>
        <w:spacing w:after="200" w:line="276" w:lineRule="auto"/>
        <w:rPr>
          <w:color w:val="auto"/>
          <w:u w:val="single"/>
        </w:rPr>
      </w:pPr>
      <w:r>
        <w:rPr>
          <w:color w:val="auto"/>
          <w:u w:val="single"/>
        </w:rPr>
        <w:br w:type="page"/>
      </w:r>
    </w:p>
    <w:p w14:paraId="0A9B7700" w14:textId="363A8BEA" w:rsidR="001F0054" w:rsidRPr="001F0054" w:rsidRDefault="001F0054" w:rsidP="001F0054">
      <w:pPr>
        <w:pStyle w:val="Heading1"/>
      </w:pPr>
      <w:bookmarkStart w:id="4" w:name="_Toc134193770"/>
      <w:r w:rsidRPr="001F0054">
        <w:lastRenderedPageBreak/>
        <w:t>Monitoring of paediatric HCV</w:t>
      </w:r>
      <w:bookmarkEnd w:id="4"/>
      <w:r w:rsidRPr="001F0054">
        <w:t xml:space="preserve"> </w:t>
      </w:r>
    </w:p>
    <w:p w14:paraId="0930ED81" w14:textId="77777777" w:rsidR="001F0054" w:rsidRPr="001F0054" w:rsidRDefault="001F0054" w:rsidP="001F0054">
      <w:pPr>
        <w:numPr>
          <w:ilvl w:val="0"/>
          <w:numId w:val="42"/>
        </w:numPr>
        <w:rPr>
          <w:color w:val="auto"/>
        </w:rPr>
      </w:pPr>
      <w:r w:rsidRPr="001F0054">
        <w:rPr>
          <w:color w:val="auto"/>
        </w:rPr>
        <w:t>Most children with HCV are well with no clinical stigmata of illness with normal or mildly elevated liver function tests</w:t>
      </w:r>
    </w:p>
    <w:p w14:paraId="351431AD" w14:textId="77777777" w:rsidR="001F0054" w:rsidRPr="001F0054" w:rsidRDefault="001F0054" w:rsidP="001F0054">
      <w:pPr>
        <w:numPr>
          <w:ilvl w:val="0"/>
          <w:numId w:val="42"/>
        </w:numPr>
        <w:rPr>
          <w:color w:val="auto"/>
        </w:rPr>
      </w:pPr>
      <w:r w:rsidRPr="001F0054">
        <w:rPr>
          <w:bCs/>
          <w:color w:val="auto"/>
        </w:rPr>
        <w:t>The natural history of HCV infection in children is rarely associated with severe or decompensated liver disease during childhood, but the infection persists for many years, causes chronic hepatic damage, and may be responsible for significant morbidity and mortality later in life</w:t>
      </w:r>
    </w:p>
    <w:p w14:paraId="62C27C15" w14:textId="77777777" w:rsidR="001F0054" w:rsidRPr="001F0054" w:rsidRDefault="001F0054" w:rsidP="001F0054">
      <w:pPr>
        <w:numPr>
          <w:ilvl w:val="0"/>
          <w:numId w:val="42"/>
        </w:numPr>
        <w:rPr>
          <w:color w:val="auto"/>
        </w:rPr>
      </w:pPr>
      <w:r w:rsidRPr="001F0054">
        <w:rPr>
          <w:color w:val="auto"/>
        </w:rPr>
        <w:t xml:space="preserve">Children with HCV should be reviewed every 6 months with a check of viral load (PCR), liver health (FBC, LFTs, coagulation) and an abdominal US every 2-3 years. Where available, a </w:t>
      </w:r>
      <w:proofErr w:type="spellStart"/>
      <w:r w:rsidRPr="001F0054">
        <w:rPr>
          <w:color w:val="auto"/>
        </w:rPr>
        <w:t>fibroscan</w:t>
      </w:r>
      <w:proofErr w:type="spellEnd"/>
      <w:r w:rsidRPr="001F0054">
        <w:rPr>
          <w:color w:val="auto"/>
        </w:rPr>
        <w:t xml:space="preserve"> is increasingly used to monitor for the development of liver fibrosis</w:t>
      </w:r>
    </w:p>
    <w:p w14:paraId="5A1F2159" w14:textId="77777777" w:rsidR="001F0054" w:rsidRPr="001F0054" w:rsidRDefault="001F0054" w:rsidP="001F0054">
      <w:pPr>
        <w:numPr>
          <w:ilvl w:val="0"/>
          <w:numId w:val="42"/>
        </w:numPr>
        <w:rPr>
          <w:color w:val="auto"/>
        </w:rPr>
      </w:pPr>
      <w:r w:rsidRPr="001F0054">
        <w:rPr>
          <w:color w:val="auto"/>
        </w:rPr>
        <w:t>Please enter all children with HCV onto the paediatric HCV instance of CAS (Clinical Audit System)</w:t>
      </w:r>
    </w:p>
    <w:p w14:paraId="774F2680" w14:textId="77777777" w:rsidR="001F0054" w:rsidRPr="001F0054" w:rsidRDefault="001F0054" w:rsidP="001F0054">
      <w:pPr>
        <w:numPr>
          <w:ilvl w:val="0"/>
          <w:numId w:val="42"/>
        </w:numPr>
        <w:rPr>
          <w:color w:val="auto"/>
        </w:rPr>
      </w:pPr>
      <w:r w:rsidRPr="001F0054">
        <w:rPr>
          <w:color w:val="auto"/>
        </w:rPr>
        <w:t>Children with HCV should be considered for treatment as soon as reasonably possible. Currently treatment options are licensed from 3 years of age</w:t>
      </w:r>
    </w:p>
    <w:p w14:paraId="3284EE2B" w14:textId="77777777" w:rsidR="001F0054" w:rsidRPr="001F0054" w:rsidRDefault="001F0054" w:rsidP="001F0054">
      <w:pPr>
        <w:numPr>
          <w:ilvl w:val="0"/>
          <w:numId w:val="42"/>
        </w:numPr>
        <w:rPr>
          <w:color w:val="auto"/>
        </w:rPr>
      </w:pPr>
      <w:r w:rsidRPr="001F0054">
        <w:rPr>
          <w:color w:val="auto"/>
        </w:rPr>
        <w:t>The offer of treatment should be discussed with parents including the efficacy of treatment, the importance of adherence, the ability to swallow tablets, the low potential for side effects, treatment duration and post treatment assessment of viral clearance</w:t>
      </w:r>
    </w:p>
    <w:p w14:paraId="30B1B03A" w14:textId="6EFDD761" w:rsidR="001F0054" w:rsidRPr="001F0054" w:rsidRDefault="001F0054" w:rsidP="001F0054">
      <w:pPr>
        <w:numPr>
          <w:ilvl w:val="0"/>
          <w:numId w:val="42"/>
        </w:numPr>
        <w:rPr>
          <w:color w:val="auto"/>
        </w:rPr>
      </w:pPr>
      <w:r w:rsidRPr="001F0054">
        <w:rPr>
          <w:color w:val="auto"/>
        </w:rPr>
        <w:t xml:space="preserve">Baseline treatment assessment should include details of co-existent bowel diseases causing malabsorption, co-existent blood borne viruses, current medications and potential interactions, HCV genotype and liver </w:t>
      </w:r>
      <w:r w:rsidR="001D1B20" w:rsidRPr="001F0054">
        <w:rPr>
          <w:color w:val="auto"/>
        </w:rPr>
        <w:t xml:space="preserve">health </w:t>
      </w:r>
      <w:proofErr w:type="gramStart"/>
      <w:r w:rsidR="001D1B20" w:rsidRPr="001F0054">
        <w:rPr>
          <w:color w:val="auto"/>
        </w:rPr>
        <w:t>-</w:t>
      </w:r>
      <w:r w:rsidRPr="001F0054">
        <w:rPr>
          <w:color w:val="auto"/>
        </w:rPr>
        <w:t xml:space="preserve">  see</w:t>
      </w:r>
      <w:proofErr w:type="gramEnd"/>
      <w:r w:rsidRPr="001F0054">
        <w:rPr>
          <w:color w:val="auto"/>
        </w:rPr>
        <w:t xml:space="preserve"> appendix B for pre-treatment proforma</w:t>
      </w:r>
    </w:p>
    <w:p w14:paraId="2BC27B49" w14:textId="77777777" w:rsidR="001F0054" w:rsidRPr="001F0054" w:rsidRDefault="001F0054" w:rsidP="001F0054">
      <w:pPr>
        <w:ind w:left="720"/>
        <w:rPr>
          <w:color w:val="auto"/>
        </w:rPr>
      </w:pPr>
    </w:p>
    <w:p w14:paraId="5F006DAB" w14:textId="691DC5CF" w:rsidR="001F0054" w:rsidRPr="001F0054" w:rsidRDefault="001F0054" w:rsidP="001F0054">
      <w:pPr>
        <w:pStyle w:val="Heading1"/>
      </w:pPr>
      <w:bookmarkStart w:id="5" w:name="_Toc134193771"/>
      <w:bookmarkStart w:id="6" w:name="_Hlk125704814"/>
      <w:r w:rsidRPr="001F0054">
        <w:t>Treatment of paediatric HCV</w:t>
      </w:r>
      <w:bookmarkEnd w:id="5"/>
    </w:p>
    <w:p w14:paraId="2E7C2445" w14:textId="77777777" w:rsidR="001F0054" w:rsidRPr="001F0054" w:rsidRDefault="001F0054" w:rsidP="001F0054">
      <w:pPr>
        <w:numPr>
          <w:ilvl w:val="0"/>
          <w:numId w:val="43"/>
        </w:numPr>
        <w:rPr>
          <w:color w:val="auto"/>
        </w:rPr>
      </w:pPr>
      <w:r w:rsidRPr="001F0054">
        <w:rPr>
          <w:color w:val="auto"/>
        </w:rPr>
        <w:t>Treatment options for children have and continue to evolve rapidly</w:t>
      </w:r>
    </w:p>
    <w:p w14:paraId="6B883B2A" w14:textId="77777777" w:rsidR="001F0054" w:rsidRPr="001F0054" w:rsidRDefault="001F0054" w:rsidP="001F0054">
      <w:pPr>
        <w:numPr>
          <w:ilvl w:val="0"/>
          <w:numId w:val="43"/>
        </w:numPr>
        <w:rPr>
          <w:color w:val="auto"/>
        </w:rPr>
      </w:pPr>
      <w:r w:rsidRPr="001F0054">
        <w:rPr>
          <w:color w:val="auto"/>
        </w:rPr>
        <w:t>European guidance is available https://easl.eu/wp-content/uploads/2020/10/EASL-recommendations-on-treatment-of-hepatitis-C.pdf</w:t>
      </w:r>
    </w:p>
    <w:p w14:paraId="64529AC3" w14:textId="77777777" w:rsidR="001F0054" w:rsidRPr="001F0054" w:rsidRDefault="001F0054" w:rsidP="001F0054">
      <w:pPr>
        <w:numPr>
          <w:ilvl w:val="0"/>
          <w:numId w:val="42"/>
        </w:numPr>
        <w:rPr>
          <w:color w:val="auto"/>
        </w:rPr>
      </w:pPr>
      <w:r w:rsidRPr="001F0054">
        <w:rPr>
          <w:color w:val="auto"/>
        </w:rPr>
        <w:t xml:space="preserve">The SPAIIN paediatric HCV treatment MDT is available to discuss treatment options for all children with HCV and formulate treatment plans. MDT meets monthly (via teams on fourth Wednesday of the month) and is led by Fiona Marra (lead clinician for SPAIIN), Alison Boyle (advanced BBV pharmacist), Conor Doherty (paediatric infectious disease specialist) and Debbie Thomson (paediatric BBV CNS) </w:t>
      </w:r>
    </w:p>
    <w:p w14:paraId="5008293E" w14:textId="77777777" w:rsidR="001F0054" w:rsidRPr="001F0054" w:rsidRDefault="001F0054" w:rsidP="001F0054">
      <w:pPr>
        <w:numPr>
          <w:ilvl w:val="0"/>
          <w:numId w:val="42"/>
        </w:numPr>
        <w:rPr>
          <w:color w:val="auto"/>
        </w:rPr>
      </w:pPr>
      <w:r w:rsidRPr="001F0054">
        <w:rPr>
          <w:color w:val="auto"/>
        </w:rPr>
        <w:t>Duration depends on regimen, prior treatment history, presence of fibrosis/cirrhosis</w:t>
      </w:r>
    </w:p>
    <w:p w14:paraId="642319C5" w14:textId="77777777" w:rsidR="001F0054" w:rsidRPr="001F0054" w:rsidRDefault="001F0054" w:rsidP="001F0054">
      <w:pPr>
        <w:numPr>
          <w:ilvl w:val="0"/>
          <w:numId w:val="42"/>
        </w:numPr>
        <w:rPr>
          <w:color w:val="auto"/>
        </w:rPr>
      </w:pPr>
      <w:r w:rsidRPr="001F0054">
        <w:rPr>
          <w:color w:val="auto"/>
        </w:rPr>
        <w:t>Licensed treatment options</w:t>
      </w:r>
    </w:p>
    <w:p w14:paraId="31A08A23" w14:textId="77777777" w:rsidR="001F0054" w:rsidRPr="001F0054" w:rsidRDefault="001F0054" w:rsidP="001F0054">
      <w:pPr>
        <w:rPr>
          <w:color w:val="auto"/>
          <w:sz w:val="22"/>
          <w:szCs w:val="22"/>
        </w:rPr>
      </w:pPr>
    </w:p>
    <w:p w14:paraId="76E025F2" w14:textId="77777777" w:rsidR="001F0054" w:rsidRPr="001F0054" w:rsidRDefault="001F0054" w:rsidP="001F0054">
      <w:pPr>
        <w:rPr>
          <w:color w:val="auto"/>
          <w:sz w:val="22"/>
          <w:szCs w:val="22"/>
        </w:rPr>
      </w:pPr>
    </w:p>
    <w:p w14:paraId="101CAED3" w14:textId="77777777" w:rsidR="001F0054" w:rsidRPr="001F0054" w:rsidRDefault="001F0054" w:rsidP="001F0054">
      <w:pPr>
        <w:rPr>
          <w:color w:val="auto"/>
          <w:sz w:val="22"/>
          <w:szCs w:val="22"/>
        </w:rPr>
      </w:pPr>
    </w:p>
    <w:p w14:paraId="376B9C82" w14:textId="77777777" w:rsidR="001F0054" w:rsidRPr="001F0054" w:rsidRDefault="001F0054" w:rsidP="001F0054">
      <w:pPr>
        <w:rPr>
          <w:color w:val="auto"/>
          <w:sz w:val="22"/>
          <w:szCs w:val="22"/>
        </w:rPr>
      </w:pPr>
    </w:p>
    <w:p w14:paraId="3660087C" w14:textId="77777777" w:rsidR="001F0054" w:rsidRPr="001F0054" w:rsidRDefault="001F0054" w:rsidP="001F0054">
      <w:pPr>
        <w:rPr>
          <w:color w:val="auto"/>
          <w:sz w:val="22"/>
          <w:szCs w:val="22"/>
        </w:rPr>
      </w:pPr>
    </w:p>
    <w:p w14:paraId="1D324E0C" w14:textId="77777777" w:rsidR="001F0054" w:rsidRPr="001F0054" w:rsidRDefault="001F0054" w:rsidP="001F0054">
      <w:pPr>
        <w:rPr>
          <w:color w:val="auto"/>
          <w:sz w:val="22"/>
          <w:szCs w:val="22"/>
        </w:rPr>
      </w:pPr>
    </w:p>
    <w:p w14:paraId="2DE8E366" w14:textId="77777777" w:rsidR="001F0054" w:rsidRPr="001F0054" w:rsidRDefault="001F0054" w:rsidP="001F0054">
      <w:pPr>
        <w:rPr>
          <w:color w:val="auto"/>
          <w:sz w:val="22"/>
          <w:szCs w:val="22"/>
        </w:rPr>
      </w:pPr>
    </w:p>
    <w:p w14:paraId="5A688D01" w14:textId="77777777" w:rsidR="001F0054" w:rsidRPr="001F0054" w:rsidRDefault="001F0054" w:rsidP="001F0054">
      <w:pPr>
        <w:rPr>
          <w:color w:val="auto"/>
          <w:sz w:val="22"/>
          <w:szCs w:val="22"/>
        </w:rPr>
      </w:pPr>
    </w:p>
    <w:p w14:paraId="77F64E1B" w14:textId="77777777" w:rsidR="001F0054" w:rsidRPr="001F0054" w:rsidRDefault="001F0054" w:rsidP="001F0054">
      <w:pPr>
        <w:rPr>
          <w:color w:val="auto"/>
          <w:sz w:val="22"/>
          <w:szCs w:val="22"/>
        </w:rPr>
      </w:pPr>
    </w:p>
    <w:p w14:paraId="3F1F4D7B" w14:textId="77777777" w:rsidR="001F0054" w:rsidRPr="001F0054" w:rsidRDefault="001F0054" w:rsidP="001F0054">
      <w:pPr>
        <w:rPr>
          <w:color w:val="auto"/>
          <w:sz w:val="22"/>
          <w:szCs w:val="22"/>
        </w:rPr>
      </w:pPr>
    </w:p>
    <w:p w14:paraId="2EEC4246" w14:textId="77777777" w:rsidR="001F0054" w:rsidRPr="001F0054" w:rsidRDefault="001F0054" w:rsidP="001F0054">
      <w:pPr>
        <w:rPr>
          <w:color w:val="auto"/>
          <w:sz w:val="22"/>
          <w:szCs w:val="22"/>
        </w:rPr>
      </w:pPr>
    </w:p>
    <w:p w14:paraId="38B7420F" w14:textId="77777777" w:rsidR="001F0054" w:rsidRPr="001F0054" w:rsidRDefault="001F0054" w:rsidP="001F0054">
      <w:pPr>
        <w:rPr>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11"/>
        <w:gridCol w:w="1671"/>
        <w:gridCol w:w="961"/>
        <w:gridCol w:w="3473"/>
      </w:tblGrid>
      <w:tr w:rsidR="001F0054" w:rsidRPr="001F0054" w14:paraId="75FC8115" w14:textId="77777777" w:rsidTr="00022B87">
        <w:tc>
          <w:tcPr>
            <w:tcW w:w="1365" w:type="pct"/>
            <w:shd w:val="clear" w:color="auto" w:fill="004785"/>
          </w:tcPr>
          <w:bookmarkEnd w:id="6"/>
          <w:p w14:paraId="1039DFDD" w14:textId="77777777" w:rsidR="001F0054" w:rsidRPr="001F0054" w:rsidRDefault="001F0054" w:rsidP="001F0054">
            <w:pPr>
              <w:rPr>
                <w:b/>
                <w:color w:val="auto"/>
                <w:sz w:val="20"/>
                <w:szCs w:val="20"/>
              </w:rPr>
            </w:pPr>
            <w:r w:rsidRPr="001F0054">
              <w:rPr>
                <w:b/>
                <w:color w:val="auto"/>
                <w:sz w:val="20"/>
                <w:szCs w:val="20"/>
              </w:rPr>
              <w:lastRenderedPageBreak/>
              <w:t>Drug</w:t>
            </w:r>
          </w:p>
        </w:tc>
        <w:tc>
          <w:tcPr>
            <w:tcW w:w="792" w:type="pct"/>
            <w:shd w:val="clear" w:color="auto" w:fill="004785"/>
          </w:tcPr>
          <w:p w14:paraId="174DD6DD" w14:textId="77777777" w:rsidR="001F0054" w:rsidRPr="001F0054" w:rsidRDefault="001F0054" w:rsidP="001F0054">
            <w:pPr>
              <w:rPr>
                <w:b/>
                <w:color w:val="auto"/>
                <w:sz w:val="20"/>
                <w:szCs w:val="20"/>
              </w:rPr>
            </w:pPr>
            <w:r w:rsidRPr="001F0054">
              <w:rPr>
                <w:b/>
                <w:color w:val="auto"/>
                <w:sz w:val="20"/>
                <w:szCs w:val="20"/>
              </w:rPr>
              <w:t>Genotype</w:t>
            </w:r>
          </w:p>
        </w:tc>
        <w:tc>
          <w:tcPr>
            <w:tcW w:w="533" w:type="pct"/>
            <w:shd w:val="clear" w:color="auto" w:fill="004785"/>
          </w:tcPr>
          <w:p w14:paraId="20388AE5" w14:textId="77777777" w:rsidR="001F0054" w:rsidRPr="001F0054" w:rsidRDefault="001F0054" w:rsidP="001F0054">
            <w:pPr>
              <w:rPr>
                <w:b/>
                <w:color w:val="auto"/>
                <w:sz w:val="20"/>
                <w:szCs w:val="20"/>
              </w:rPr>
            </w:pPr>
            <w:r w:rsidRPr="001F0054">
              <w:rPr>
                <w:b/>
                <w:color w:val="auto"/>
                <w:sz w:val="20"/>
                <w:szCs w:val="20"/>
              </w:rPr>
              <w:t>License</w:t>
            </w:r>
          </w:p>
        </w:tc>
        <w:tc>
          <w:tcPr>
            <w:tcW w:w="2309" w:type="pct"/>
            <w:shd w:val="clear" w:color="auto" w:fill="004785"/>
          </w:tcPr>
          <w:p w14:paraId="343525EB" w14:textId="77777777" w:rsidR="001F0054" w:rsidRPr="001F0054" w:rsidRDefault="001F0054" w:rsidP="001F0054">
            <w:pPr>
              <w:rPr>
                <w:b/>
                <w:color w:val="auto"/>
                <w:sz w:val="20"/>
                <w:szCs w:val="20"/>
              </w:rPr>
            </w:pPr>
            <w:r w:rsidRPr="001F0054">
              <w:rPr>
                <w:b/>
                <w:color w:val="auto"/>
                <w:sz w:val="20"/>
                <w:szCs w:val="20"/>
              </w:rPr>
              <w:t>Dose</w:t>
            </w:r>
          </w:p>
        </w:tc>
      </w:tr>
      <w:tr w:rsidR="001F0054" w:rsidRPr="001F0054" w14:paraId="5D0B84C6" w14:textId="77777777" w:rsidTr="002F374A">
        <w:trPr>
          <w:trHeight w:val="1191"/>
        </w:trPr>
        <w:tc>
          <w:tcPr>
            <w:tcW w:w="1365" w:type="pct"/>
            <w:vMerge w:val="restart"/>
            <w:shd w:val="clear" w:color="auto" w:fill="auto"/>
          </w:tcPr>
          <w:p w14:paraId="72F1053A" w14:textId="77777777" w:rsidR="001F0054" w:rsidRPr="001F0054" w:rsidRDefault="001F0054" w:rsidP="002F374A">
            <w:pPr>
              <w:rPr>
                <w:color w:val="auto"/>
              </w:rPr>
            </w:pPr>
            <w:r w:rsidRPr="001F0054">
              <w:rPr>
                <w:color w:val="auto"/>
              </w:rPr>
              <w:t>Epclusa® (Sofosbuvir/</w:t>
            </w:r>
            <w:proofErr w:type="spellStart"/>
            <w:r w:rsidRPr="001F0054">
              <w:rPr>
                <w:color w:val="auto"/>
              </w:rPr>
              <w:t>velpatasvir</w:t>
            </w:r>
            <w:proofErr w:type="spellEnd"/>
            <w:r w:rsidRPr="001F0054">
              <w:rPr>
                <w:color w:val="auto"/>
              </w:rPr>
              <w:t>)</w:t>
            </w:r>
          </w:p>
        </w:tc>
        <w:tc>
          <w:tcPr>
            <w:tcW w:w="792" w:type="pct"/>
            <w:vMerge w:val="restart"/>
            <w:shd w:val="clear" w:color="auto" w:fill="auto"/>
          </w:tcPr>
          <w:p w14:paraId="236272FD" w14:textId="77777777" w:rsidR="001F0054" w:rsidRPr="001F0054" w:rsidRDefault="001F0054" w:rsidP="002F374A">
            <w:pPr>
              <w:rPr>
                <w:color w:val="auto"/>
              </w:rPr>
            </w:pPr>
            <w:proofErr w:type="spellStart"/>
            <w:r w:rsidRPr="001F0054">
              <w:rPr>
                <w:color w:val="auto"/>
              </w:rPr>
              <w:t>Pangenotypic</w:t>
            </w:r>
            <w:proofErr w:type="spellEnd"/>
          </w:p>
        </w:tc>
        <w:tc>
          <w:tcPr>
            <w:tcW w:w="533" w:type="pct"/>
            <w:vMerge w:val="restart"/>
            <w:shd w:val="clear" w:color="auto" w:fill="auto"/>
          </w:tcPr>
          <w:p w14:paraId="12E22390" w14:textId="77777777" w:rsidR="001F0054" w:rsidRPr="001F0054" w:rsidRDefault="001F0054" w:rsidP="002F374A">
            <w:pPr>
              <w:rPr>
                <w:color w:val="auto"/>
              </w:rPr>
            </w:pPr>
            <w:r w:rsidRPr="001F0054">
              <w:rPr>
                <w:color w:val="auto"/>
              </w:rPr>
              <w:t>3+ years</w:t>
            </w:r>
          </w:p>
        </w:tc>
        <w:tc>
          <w:tcPr>
            <w:tcW w:w="2309" w:type="pct"/>
            <w:shd w:val="clear" w:color="auto" w:fill="auto"/>
          </w:tcPr>
          <w:p w14:paraId="087B0204" w14:textId="77777777" w:rsidR="001F0054" w:rsidRPr="001F0054" w:rsidRDefault="001F0054" w:rsidP="002F374A">
            <w:pPr>
              <w:rPr>
                <w:color w:val="auto"/>
              </w:rPr>
            </w:pPr>
            <w:r w:rsidRPr="001F0054">
              <w:rPr>
                <w:color w:val="auto"/>
              </w:rPr>
              <w:t xml:space="preserve">≥ 30kg: 1 x 400mg/100mg tablet once daily </w:t>
            </w:r>
            <w:r w:rsidRPr="001F0054">
              <w:rPr>
                <w:color w:val="auto"/>
                <w:u w:val="single"/>
              </w:rPr>
              <w:t>or</w:t>
            </w:r>
            <w:r w:rsidRPr="001F0054">
              <w:rPr>
                <w:color w:val="auto"/>
              </w:rPr>
              <w:t xml:space="preserve"> 2 x 200mg/50mg tablet once daily </w:t>
            </w:r>
            <w:r w:rsidRPr="001F0054">
              <w:rPr>
                <w:color w:val="auto"/>
                <w:u w:val="single"/>
              </w:rPr>
              <w:t>or</w:t>
            </w:r>
            <w:r w:rsidRPr="001F0054">
              <w:rPr>
                <w:color w:val="auto"/>
              </w:rPr>
              <w:t xml:space="preserve"> 2 x 200mg/50mg sachets of granules once daily</w:t>
            </w:r>
          </w:p>
          <w:p w14:paraId="7208F77E" w14:textId="77777777" w:rsidR="001F0054" w:rsidRPr="001F0054" w:rsidRDefault="001F0054" w:rsidP="002F374A">
            <w:pPr>
              <w:rPr>
                <w:color w:val="auto"/>
              </w:rPr>
            </w:pPr>
          </w:p>
        </w:tc>
      </w:tr>
      <w:tr w:rsidR="001F0054" w:rsidRPr="001F0054" w14:paraId="2C340AD9" w14:textId="77777777" w:rsidTr="002F374A">
        <w:trPr>
          <w:trHeight w:val="1191"/>
        </w:trPr>
        <w:tc>
          <w:tcPr>
            <w:tcW w:w="1365" w:type="pct"/>
            <w:vMerge/>
            <w:shd w:val="clear" w:color="auto" w:fill="auto"/>
          </w:tcPr>
          <w:p w14:paraId="1DF17E44" w14:textId="77777777" w:rsidR="001F0054" w:rsidRPr="001F0054" w:rsidRDefault="001F0054" w:rsidP="002F374A">
            <w:pPr>
              <w:rPr>
                <w:color w:val="auto"/>
              </w:rPr>
            </w:pPr>
          </w:p>
        </w:tc>
        <w:tc>
          <w:tcPr>
            <w:tcW w:w="792" w:type="pct"/>
            <w:vMerge/>
            <w:shd w:val="clear" w:color="auto" w:fill="auto"/>
          </w:tcPr>
          <w:p w14:paraId="5485C47A" w14:textId="77777777" w:rsidR="001F0054" w:rsidRPr="001F0054" w:rsidRDefault="001F0054" w:rsidP="002F374A">
            <w:pPr>
              <w:rPr>
                <w:color w:val="auto"/>
              </w:rPr>
            </w:pPr>
          </w:p>
        </w:tc>
        <w:tc>
          <w:tcPr>
            <w:tcW w:w="533" w:type="pct"/>
            <w:vMerge/>
            <w:shd w:val="clear" w:color="auto" w:fill="auto"/>
          </w:tcPr>
          <w:p w14:paraId="2ACF6AFE" w14:textId="77777777" w:rsidR="001F0054" w:rsidRPr="001F0054" w:rsidRDefault="001F0054" w:rsidP="002F374A">
            <w:pPr>
              <w:rPr>
                <w:color w:val="auto"/>
              </w:rPr>
            </w:pPr>
          </w:p>
        </w:tc>
        <w:tc>
          <w:tcPr>
            <w:tcW w:w="2309" w:type="pct"/>
            <w:shd w:val="clear" w:color="auto" w:fill="auto"/>
          </w:tcPr>
          <w:p w14:paraId="7248509C" w14:textId="77777777" w:rsidR="001F0054" w:rsidRPr="001F0054" w:rsidRDefault="001F0054" w:rsidP="002F374A">
            <w:pPr>
              <w:rPr>
                <w:color w:val="auto"/>
              </w:rPr>
            </w:pPr>
            <w:r w:rsidRPr="001F0054">
              <w:rPr>
                <w:color w:val="auto"/>
              </w:rPr>
              <w:t xml:space="preserve">17 to &lt; 30kg: 1 x 200mg/50mg tablet once daily </w:t>
            </w:r>
            <w:r w:rsidRPr="001F0054">
              <w:rPr>
                <w:color w:val="auto"/>
                <w:u w:val="single"/>
              </w:rPr>
              <w:t>or</w:t>
            </w:r>
            <w:r w:rsidRPr="001F0054">
              <w:rPr>
                <w:color w:val="auto"/>
              </w:rPr>
              <w:t xml:space="preserve"> 1 x 200mg/50mg sachets of granules once daily</w:t>
            </w:r>
          </w:p>
          <w:p w14:paraId="5B4975AB" w14:textId="77777777" w:rsidR="001F0054" w:rsidRPr="001F0054" w:rsidRDefault="001F0054" w:rsidP="002F374A">
            <w:pPr>
              <w:rPr>
                <w:color w:val="auto"/>
              </w:rPr>
            </w:pPr>
          </w:p>
        </w:tc>
      </w:tr>
      <w:tr w:rsidR="001F0054" w:rsidRPr="001F0054" w14:paraId="0FCE6AE3" w14:textId="77777777" w:rsidTr="002F374A">
        <w:trPr>
          <w:trHeight w:val="1191"/>
        </w:trPr>
        <w:tc>
          <w:tcPr>
            <w:tcW w:w="1365" w:type="pct"/>
            <w:vMerge/>
            <w:shd w:val="clear" w:color="auto" w:fill="auto"/>
          </w:tcPr>
          <w:p w14:paraId="6390E59F" w14:textId="77777777" w:rsidR="001F0054" w:rsidRPr="001F0054" w:rsidRDefault="001F0054" w:rsidP="002F374A">
            <w:pPr>
              <w:rPr>
                <w:color w:val="auto"/>
              </w:rPr>
            </w:pPr>
          </w:p>
        </w:tc>
        <w:tc>
          <w:tcPr>
            <w:tcW w:w="792" w:type="pct"/>
            <w:vMerge/>
            <w:shd w:val="clear" w:color="auto" w:fill="auto"/>
          </w:tcPr>
          <w:p w14:paraId="48C5E6D8" w14:textId="77777777" w:rsidR="001F0054" w:rsidRPr="001F0054" w:rsidRDefault="001F0054" w:rsidP="002F374A">
            <w:pPr>
              <w:rPr>
                <w:color w:val="auto"/>
              </w:rPr>
            </w:pPr>
          </w:p>
        </w:tc>
        <w:tc>
          <w:tcPr>
            <w:tcW w:w="533" w:type="pct"/>
            <w:vMerge/>
            <w:shd w:val="clear" w:color="auto" w:fill="auto"/>
          </w:tcPr>
          <w:p w14:paraId="6B35BD64" w14:textId="77777777" w:rsidR="001F0054" w:rsidRPr="001F0054" w:rsidRDefault="001F0054" w:rsidP="002F374A">
            <w:pPr>
              <w:rPr>
                <w:color w:val="auto"/>
              </w:rPr>
            </w:pPr>
          </w:p>
        </w:tc>
        <w:tc>
          <w:tcPr>
            <w:tcW w:w="2309" w:type="pct"/>
            <w:shd w:val="clear" w:color="auto" w:fill="auto"/>
          </w:tcPr>
          <w:p w14:paraId="07AF85C4" w14:textId="77777777" w:rsidR="001F0054" w:rsidRPr="001F0054" w:rsidRDefault="001F0054" w:rsidP="002F374A">
            <w:pPr>
              <w:rPr>
                <w:color w:val="auto"/>
              </w:rPr>
            </w:pPr>
            <w:r w:rsidRPr="001F0054">
              <w:rPr>
                <w:color w:val="auto"/>
              </w:rPr>
              <w:t>&lt; 17kg: 1 x 150mg / 37.5mg sachets of granules once daily</w:t>
            </w:r>
          </w:p>
          <w:p w14:paraId="73AB5AFC" w14:textId="77777777" w:rsidR="001F0054" w:rsidRPr="001F0054" w:rsidRDefault="001F0054" w:rsidP="002F374A">
            <w:pPr>
              <w:rPr>
                <w:color w:val="auto"/>
              </w:rPr>
            </w:pPr>
          </w:p>
        </w:tc>
      </w:tr>
      <w:tr w:rsidR="001F0054" w:rsidRPr="001F0054" w14:paraId="11299373" w14:textId="77777777" w:rsidTr="002F374A">
        <w:trPr>
          <w:trHeight w:val="1191"/>
        </w:trPr>
        <w:tc>
          <w:tcPr>
            <w:tcW w:w="1365" w:type="pct"/>
            <w:vMerge w:val="restart"/>
            <w:shd w:val="clear" w:color="auto" w:fill="auto"/>
          </w:tcPr>
          <w:p w14:paraId="7CE74B52" w14:textId="77777777" w:rsidR="001F0054" w:rsidRPr="001F0054" w:rsidRDefault="001F0054" w:rsidP="002F374A">
            <w:pPr>
              <w:rPr>
                <w:color w:val="auto"/>
              </w:rPr>
            </w:pPr>
            <w:proofErr w:type="spellStart"/>
            <w:r w:rsidRPr="001F0054">
              <w:rPr>
                <w:color w:val="auto"/>
              </w:rPr>
              <w:t>Maviret</w:t>
            </w:r>
            <w:proofErr w:type="spellEnd"/>
            <w:r w:rsidRPr="001F0054">
              <w:rPr>
                <w:color w:val="auto"/>
              </w:rPr>
              <w:t>®</w:t>
            </w:r>
          </w:p>
          <w:p w14:paraId="50418638" w14:textId="77777777" w:rsidR="001F0054" w:rsidRPr="001F0054" w:rsidRDefault="001F0054" w:rsidP="002F374A">
            <w:pPr>
              <w:rPr>
                <w:color w:val="auto"/>
              </w:rPr>
            </w:pPr>
            <w:r w:rsidRPr="001F0054">
              <w:rPr>
                <w:color w:val="auto"/>
              </w:rPr>
              <w:t>(</w:t>
            </w:r>
            <w:proofErr w:type="spellStart"/>
            <w:r w:rsidRPr="001F0054">
              <w:rPr>
                <w:color w:val="auto"/>
              </w:rPr>
              <w:t>Glecaprevir</w:t>
            </w:r>
            <w:proofErr w:type="spellEnd"/>
            <w:r w:rsidRPr="001F0054">
              <w:rPr>
                <w:color w:val="auto"/>
              </w:rPr>
              <w:t>/</w:t>
            </w:r>
            <w:proofErr w:type="spellStart"/>
            <w:r w:rsidRPr="001F0054">
              <w:rPr>
                <w:color w:val="auto"/>
              </w:rPr>
              <w:t>pibrentasvir</w:t>
            </w:r>
            <w:proofErr w:type="spellEnd"/>
            <w:r w:rsidRPr="001F0054">
              <w:rPr>
                <w:color w:val="auto"/>
              </w:rPr>
              <w:t>)</w:t>
            </w:r>
          </w:p>
        </w:tc>
        <w:tc>
          <w:tcPr>
            <w:tcW w:w="792" w:type="pct"/>
            <w:vMerge w:val="restart"/>
            <w:shd w:val="clear" w:color="auto" w:fill="auto"/>
          </w:tcPr>
          <w:p w14:paraId="7CC6EEE0" w14:textId="77777777" w:rsidR="001F0054" w:rsidRPr="001F0054" w:rsidRDefault="001F0054" w:rsidP="002F374A">
            <w:pPr>
              <w:rPr>
                <w:color w:val="auto"/>
              </w:rPr>
            </w:pPr>
            <w:proofErr w:type="spellStart"/>
            <w:r w:rsidRPr="001F0054">
              <w:rPr>
                <w:color w:val="auto"/>
              </w:rPr>
              <w:t>Pangenotypic</w:t>
            </w:r>
            <w:proofErr w:type="spellEnd"/>
          </w:p>
        </w:tc>
        <w:tc>
          <w:tcPr>
            <w:tcW w:w="533" w:type="pct"/>
            <w:vMerge w:val="restart"/>
            <w:shd w:val="clear" w:color="auto" w:fill="auto"/>
          </w:tcPr>
          <w:p w14:paraId="76C71416" w14:textId="77777777" w:rsidR="001F0054" w:rsidRPr="001F0054" w:rsidRDefault="001F0054" w:rsidP="002F374A">
            <w:pPr>
              <w:rPr>
                <w:color w:val="auto"/>
              </w:rPr>
            </w:pPr>
            <w:r w:rsidRPr="001F0054">
              <w:rPr>
                <w:color w:val="auto"/>
              </w:rPr>
              <w:t>3+ years and ≥ 12 kg</w:t>
            </w:r>
          </w:p>
        </w:tc>
        <w:tc>
          <w:tcPr>
            <w:tcW w:w="2309" w:type="pct"/>
            <w:shd w:val="clear" w:color="auto" w:fill="auto"/>
          </w:tcPr>
          <w:p w14:paraId="4E5A94FD" w14:textId="77777777" w:rsidR="001F0054" w:rsidRPr="001F0054" w:rsidRDefault="001F0054" w:rsidP="002F374A">
            <w:pPr>
              <w:rPr>
                <w:color w:val="auto"/>
              </w:rPr>
            </w:pPr>
            <w:r w:rsidRPr="001F0054">
              <w:rPr>
                <w:color w:val="auto"/>
              </w:rPr>
              <w:t>12+ years and children ≥ 45kg:</w:t>
            </w:r>
          </w:p>
          <w:p w14:paraId="041297A3" w14:textId="77777777" w:rsidR="001F0054" w:rsidRPr="001F0054" w:rsidRDefault="001F0054" w:rsidP="002F374A">
            <w:pPr>
              <w:rPr>
                <w:color w:val="auto"/>
              </w:rPr>
            </w:pPr>
            <w:r w:rsidRPr="001F0054">
              <w:rPr>
                <w:color w:val="auto"/>
              </w:rPr>
              <w:t xml:space="preserve">3 x 100mg/40mg tablets once daily </w:t>
            </w:r>
          </w:p>
          <w:p w14:paraId="58500701" w14:textId="77777777" w:rsidR="001F0054" w:rsidRPr="001F0054" w:rsidRDefault="001F0054" w:rsidP="002F374A">
            <w:pPr>
              <w:rPr>
                <w:color w:val="auto"/>
              </w:rPr>
            </w:pPr>
          </w:p>
        </w:tc>
      </w:tr>
      <w:tr w:rsidR="001F0054" w:rsidRPr="001F0054" w14:paraId="08E8D727" w14:textId="77777777" w:rsidTr="002F374A">
        <w:trPr>
          <w:trHeight w:val="1191"/>
        </w:trPr>
        <w:tc>
          <w:tcPr>
            <w:tcW w:w="1365" w:type="pct"/>
            <w:vMerge/>
            <w:shd w:val="clear" w:color="auto" w:fill="auto"/>
          </w:tcPr>
          <w:p w14:paraId="030A4D57" w14:textId="77777777" w:rsidR="001F0054" w:rsidRPr="001F0054" w:rsidRDefault="001F0054" w:rsidP="002F374A">
            <w:pPr>
              <w:rPr>
                <w:color w:val="auto"/>
              </w:rPr>
            </w:pPr>
          </w:p>
        </w:tc>
        <w:tc>
          <w:tcPr>
            <w:tcW w:w="792" w:type="pct"/>
            <w:vMerge/>
            <w:shd w:val="clear" w:color="auto" w:fill="auto"/>
          </w:tcPr>
          <w:p w14:paraId="3D45BCAD" w14:textId="77777777" w:rsidR="001F0054" w:rsidRPr="001F0054" w:rsidRDefault="001F0054" w:rsidP="002F374A">
            <w:pPr>
              <w:rPr>
                <w:color w:val="auto"/>
              </w:rPr>
            </w:pPr>
          </w:p>
        </w:tc>
        <w:tc>
          <w:tcPr>
            <w:tcW w:w="533" w:type="pct"/>
            <w:vMerge/>
            <w:shd w:val="clear" w:color="auto" w:fill="auto"/>
          </w:tcPr>
          <w:p w14:paraId="376409EC" w14:textId="77777777" w:rsidR="001F0054" w:rsidRPr="001F0054" w:rsidRDefault="001F0054" w:rsidP="002F374A">
            <w:pPr>
              <w:rPr>
                <w:color w:val="auto"/>
              </w:rPr>
            </w:pPr>
          </w:p>
        </w:tc>
        <w:tc>
          <w:tcPr>
            <w:tcW w:w="2309" w:type="pct"/>
            <w:shd w:val="clear" w:color="auto" w:fill="auto"/>
          </w:tcPr>
          <w:p w14:paraId="13DD81BF" w14:textId="77777777" w:rsidR="001F0054" w:rsidRPr="001F0054" w:rsidRDefault="001F0054" w:rsidP="002F374A">
            <w:pPr>
              <w:rPr>
                <w:color w:val="auto"/>
              </w:rPr>
            </w:pPr>
            <w:r w:rsidRPr="001F0054">
              <w:rPr>
                <w:color w:val="auto"/>
              </w:rPr>
              <w:t>3+ years and 12 to &lt; 45kg:</w:t>
            </w:r>
          </w:p>
          <w:p w14:paraId="33C73C27" w14:textId="77777777" w:rsidR="001F0054" w:rsidRPr="001F0054" w:rsidRDefault="001F0054" w:rsidP="002F374A">
            <w:pPr>
              <w:rPr>
                <w:color w:val="auto"/>
              </w:rPr>
            </w:pPr>
            <w:r w:rsidRPr="001F0054">
              <w:rPr>
                <w:color w:val="auto"/>
              </w:rPr>
              <w:t>50mg/20mg granules in sachet</w:t>
            </w:r>
          </w:p>
          <w:p w14:paraId="7D5B6DBE" w14:textId="77777777" w:rsidR="001F0054" w:rsidRPr="001F0054" w:rsidRDefault="001F0054" w:rsidP="002F374A">
            <w:pPr>
              <w:rPr>
                <w:color w:val="auto"/>
              </w:rPr>
            </w:pPr>
            <w:r w:rsidRPr="001F0054">
              <w:rPr>
                <w:color w:val="auto"/>
              </w:rPr>
              <w:t>≥12 to &lt; 20kg: 3 sachets (150mg/60mg) once daily</w:t>
            </w:r>
          </w:p>
          <w:p w14:paraId="378E2077" w14:textId="77777777" w:rsidR="001F0054" w:rsidRPr="001F0054" w:rsidRDefault="001F0054" w:rsidP="002F374A">
            <w:pPr>
              <w:rPr>
                <w:color w:val="auto"/>
              </w:rPr>
            </w:pPr>
            <w:r w:rsidRPr="001F0054">
              <w:rPr>
                <w:color w:val="auto"/>
              </w:rPr>
              <w:t>≥20kg to &lt; 30kg: 4 sachets (200mg/80mg) once daily</w:t>
            </w:r>
          </w:p>
          <w:p w14:paraId="6280343E" w14:textId="77777777" w:rsidR="001F0054" w:rsidRPr="001F0054" w:rsidRDefault="001F0054" w:rsidP="002F374A">
            <w:pPr>
              <w:rPr>
                <w:color w:val="auto"/>
              </w:rPr>
            </w:pPr>
            <w:r w:rsidRPr="001F0054">
              <w:rPr>
                <w:color w:val="auto"/>
              </w:rPr>
              <w:t>≥30 to &lt; 45kg: 5 sachets (250mg/100mg) once daily</w:t>
            </w:r>
          </w:p>
          <w:p w14:paraId="6B612582" w14:textId="77777777" w:rsidR="001F0054" w:rsidRPr="001F0054" w:rsidRDefault="001F0054" w:rsidP="002F374A">
            <w:pPr>
              <w:rPr>
                <w:color w:val="auto"/>
              </w:rPr>
            </w:pPr>
          </w:p>
        </w:tc>
      </w:tr>
      <w:tr w:rsidR="001F0054" w:rsidRPr="001F0054" w14:paraId="50DEFE78" w14:textId="77777777" w:rsidTr="002F374A">
        <w:trPr>
          <w:trHeight w:val="1191"/>
        </w:trPr>
        <w:tc>
          <w:tcPr>
            <w:tcW w:w="1365" w:type="pct"/>
            <w:vMerge w:val="restart"/>
            <w:shd w:val="clear" w:color="auto" w:fill="auto"/>
          </w:tcPr>
          <w:p w14:paraId="6792AE6F" w14:textId="77777777" w:rsidR="001F0054" w:rsidRPr="001F0054" w:rsidRDefault="001F0054" w:rsidP="002F374A">
            <w:pPr>
              <w:rPr>
                <w:color w:val="auto"/>
              </w:rPr>
            </w:pPr>
            <w:r w:rsidRPr="001F0054">
              <w:rPr>
                <w:color w:val="auto"/>
              </w:rPr>
              <w:t>Harvoni® (Ledipasvir/sofosbuvir)</w:t>
            </w:r>
          </w:p>
        </w:tc>
        <w:tc>
          <w:tcPr>
            <w:tcW w:w="792" w:type="pct"/>
            <w:vMerge w:val="restart"/>
            <w:shd w:val="clear" w:color="auto" w:fill="auto"/>
          </w:tcPr>
          <w:p w14:paraId="013ACC2B" w14:textId="77777777" w:rsidR="001F0054" w:rsidRPr="001F0054" w:rsidRDefault="001F0054" w:rsidP="002F374A">
            <w:pPr>
              <w:rPr>
                <w:color w:val="auto"/>
              </w:rPr>
            </w:pPr>
            <w:r w:rsidRPr="001F0054">
              <w:rPr>
                <w:color w:val="auto"/>
              </w:rPr>
              <w:t>1, 4, 5, 6</w:t>
            </w:r>
          </w:p>
        </w:tc>
        <w:tc>
          <w:tcPr>
            <w:tcW w:w="533" w:type="pct"/>
            <w:vMerge w:val="restart"/>
            <w:shd w:val="clear" w:color="auto" w:fill="auto"/>
          </w:tcPr>
          <w:p w14:paraId="47B73A0E" w14:textId="77777777" w:rsidR="001F0054" w:rsidRPr="001F0054" w:rsidRDefault="001F0054" w:rsidP="002F374A">
            <w:pPr>
              <w:rPr>
                <w:color w:val="auto"/>
              </w:rPr>
            </w:pPr>
            <w:r w:rsidRPr="001F0054">
              <w:rPr>
                <w:color w:val="auto"/>
              </w:rPr>
              <w:t>3+ years</w:t>
            </w:r>
          </w:p>
        </w:tc>
        <w:tc>
          <w:tcPr>
            <w:tcW w:w="2309" w:type="pct"/>
            <w:shd w:val="clear" w:color="auto" w:fill="auto"/>
          </w:tcPr>
          <w:p w14:paraId="5B3AF9E9" w14:textId="77777777" w:rsidR="001F0054" w:rsidRPr="001F0054" w:rsidRDefault="001F0054" w:rsidP="002F374A">
            <w:pPr>
              <w:rPr>
                <w:color w:val="auto"/>
              </w:rPr>
            </w:pPr>
            <w:r w:rsidRPr="001F0054">
              <w:rPr>
                <w:color w:val="auto"/>
              </w:rPr>
              <w:t xml:space="preserve">≥ 35kg: 1 x 90mg/400mg tablet once daily </w:t>
            </w:r>
            <w:r w:rsidRPr="001F0054">
              <w:rPr>
                <w:color w:val="auto"/>
                <w:u w:val="single"/>
              </w:rPr>
              <w:t>or</w:t>
            </w:r>
            <w:r w:rsidRPr="001F0054">
              <w:rPr>
                <w:color w:val="auto"/>
              </w:rPr>
              <w:t xml:space="preserve"> </w:t>
            </w:r>
          </w:p>
          <w:p w14:paraId="00924840" w14:textId="77777777" w:rsidR="001F0054" w:rsidRPr="001F0054" w:rsidRDefault="001F0054" w:rsidP="002F374A">
            <w:pPr>
              <w:rPr>
                <w:color w:val="auto"/>
              </w:rPr>
            </w:pPr>
            <w:r w:rsidRPr="001F0054">
              <w:rPr>
                <w:color w:val="auto"/>
              </w:rPr>
              <w:t xml:space="preserve">2 x 45mg/200mg tablet once daily </w:t>
            </w:r>
            <w:r w:rsidRPr="001F0054">
              <w:rPr>
                <w:color w:val="auto"/>
                <w:u w:val="single"/>
              </w:rPr>
              <w:t>or</w:t>
            </w:r>
            <w:r w:rsidRPr="001F0054">
              <w:rPr>
                <w:color w:val="auto"/>
              </w:rPr>
              <w:t xml:space="preserve"> </w:t>
            </w:r>
          </w:p>
          <w:p w14:paraId="06EA623F" w14:textId="77777777" w:rsidR="001F0054" w:rsidRPr="001F0054" w:rsidRDefault="001F0054" w:rsidP="002F374A">
            <w:pPr>
              <w:rPr>
                <w:color w:val="auto"/>
              </w:rPr>
            </w:pPr>
            <w:r w:rsidRPr="001F0054">
              <w:rPr>
                <w:color w:val="auto"/>
              </w:rPr>
              <w:t>2 x 45mg/200mg sachets of granules once daily</w:t>
            </w:r>
          </w:p>
          <w:p w14:paraId="68C7B7B1" w14:textId="77777777" w:rsidR="001F0054" w:rsidRPr="001F0054" w:rsidRDefault="001F0054" w:rsidP="002F374A">
            <w:pPr>
              <w:rPr>
                <w:color w:val="auto"/>
              </w:rPr>
            </w:pPr>
          </w:p>
        </w:tc>
      </w:tr>
      <w:tr w:rsidR="001F0054" w:rsidRPr="001F0054" w14:paraId="0242B90C" w14:textId="77777777" w:rsidTr="002F374A">
        <w:trPr>
          <w:trHeight w:val="1191"/>
        </w:trPr>
        <w:tc>
          <w:tcPr>
            <w:tcW w:w="1365" w:type="pct"/>
            <w:vMerge/>
            <w:shd w:val="clear" w:color="auto" w:fill="auto"/>
          </w:tcPr>
          <w:p w14:paraId="15D518D0" w14:textId="77777777" w:rsidR="001F0054" w:rsidRPr="001F0054" w:rsidRDefault="001F0054" w:rsidP="002F374A">
            <w:pPr>
              <w:rPr>
                <w:color w:val="auto"/>
              </w:rPr>
            </w:pPr>
          </w:p>
        </w:tc>
        <w:tc>
          <w:tcPr>
            <w:tcW w:w="792" w:type="pct"/>
            <w:vMerge/>
            <w:shd w:val="clear" w:color="auto" w:fill="auto"/>
          </w:tcPr>
          <w:p w14:paraId="2B25A786" w14:textId="77777777" w:rsidR="001F0054" w:rsidRPr="001F0054" w:rsidRDefault="001F0054" w:rsidP="002F374A">
            <w:pPr>
              <w:rPr>
                <w:color w:val="auto"/>
              </w:rPr>
            </w:pPr>
          </w:p>
        </w:tc>
        <w:tc>
          <w:tcPr>
            <w:tcW w:w="533" w:type="pct"/>
            <w:vMerge/>
            <w:shd w:val="clear" w:color="auto" w:fill="auto"/>
          </w:tcPr>
          <w:p w14:paraId="5E988FDA" w14:textId="77777777" w:rsidR="001F0054" w:rsidRPr="001F0054" w:rsidRDefault="001F0054" w:rsidP="002F374A">
            <w:pPr>
              <w:rPr>
                <w:color w:val="auto"/>
              </w:rPr>
            </w:pPr>
          </w:p>
        </w:tc>
        <w:tc>
          <w:tcPr>
            <w:tcW w:w="2309" w:type="pct"/>
            <w:shd w:val="clear" w:color="auto" w:fill="auto"/>
          </w:tcPr>
          <w:p w14:paraId="1DD385AC" w14:textId="77777777" w:rsidR="001F0054" w:rsidRPr="001F0054" w:rsidRDefault="001F0054" w:rsidP="002F374A">
            <w:pPr>
              <w:rPr>
                <w:color w:val="auto"/>
              </w:rPr>
            </w:pPr>
            <w:r w:rsidRPr="001F0054">
              <w:rPr>
                <w:color w:val="auto"/>
              </w:rPr>
              <w:t xml:space="preserve">17 to &lt; 35kg: 1 x 45mg/200mg tablet once daily </w:t>
            </w:r>
            <w:r w:rsidRPr="001F0054">
              <w:rPr>
                <w:color w:val="auto"/>
                <w:u w:val="single"/>
              </w:rPr>
              <w:t>or</w:t>
            </w:r>
            <w:r w:rsidRPr="001F0054">
              <w:rPr>
                <w:color w:val="auto"/>
              </w:rPr>
              <w:t xml:space="preserve"> 1 x 45mg/200mg sachet of granules once daily</w:t>
            </w:r>
          </w:p>
          <w:p w14:paraId="56BBEB67" w14:textId="77777777" w:rsidR="001F0054" w:rsidRPr="001F0054" w:rsidRDefault="001F0054" w:rsidP="002F374A">
            <w:pPr>
              <w:rPr>
                <w:color w:val="auto"/>
              </w:rPr>
            </w:pPr>
          </w:p>
        </w:tc>
      </w:tr>
      <w:tr w:rsidR="001F0054" w:rsidRPr="001F0054" w14:paraId="1F69B996" w14:textId="77777777" w:rsidTr="002F374A">
        <w:trPr>
          <w:trHeight w:val="1191"/>
        </w:trPr>
        <w:tc>
          <w:tcPr>
            <w:tcW w:w="1365" w:type="pct"/>
            <w:vMerge/>
            <w:shd w:val="clear" w:color="auto" w:fill="auto"/>
          </w:tcPr>
          <w:p w14:paraId="54C1A0AE" w14:textId="77777777" w:rsidR="001F0054" w:rsidRPr="001F0054" w:rsidRDefault="001F0054" w:rsidP="002F374A">
            <w:pPr>
              <w:rPr>
                <w:color w:val="auto"/>
              </w:rPr>
            </w:pPr>
          </w:p>
        </w:tc>
        <w:tc>
          <w:tcPr>
            <w:tcW w:w="792" w:type="pct"/>
            <w:vMerge/>
            <w:shd w:val="clear" w:color="auto" w:fill="auto"/>
          </w:tcPr>
          <w:p w14:paraId="233E0A35" w14:textId="77777777" w:rsidR="001F0054" w:rsidRPr="001F0054" w:rsidRDefault="001F0054" w:rsidP="002F374A">
            <w:pPr>
              <w:rPr>
                <w:color w:val="auto"/>
              </w:rPr>
            </w:pPr>
          </w:p>
        </w:tc>
        <w:tc>
          <w:tcPr>
            <w:tcW w:w="533" w:type="pct"/>
            <w:vMerge/>
            <w:shd w:val="clear" w:color="auto" w:fill="auto"/>
          </w:tcPr>
          <w:p w14:paraId="1E1A5950" w14:textId="77777777" w:rsidR="001F0054" w:rsidRPr="001F0054" w:rsidRDefault="001F0054" w:rsidP="002F374A">
            <w:pPr>
              <w:rPr>
                <w:color w:val="auto"/>
              </w:rPr>
            </w:pPr>
          </w:p>
        </w:tc>
        <w:tc>
          <w:tcPr>
            <w:tcW w:w="2309" w:type="pct"/>
            <w:shd w:val="clear" w:color="auto" w:fill="auto"/>
          </w:tcPr>
          <w:p w14:paraId="73E12588" w14:textId="77777777" w:rsidR="001F0054" w:rsidRPr="001F0054" w:rsidRDefault="001F0054" w:rsidP="002F374A">
            <w:pPr>
              <w:rPr>
                <w:color w:val="auto"/>
              </w:rPr>
            </w:pPr>
            <w:r w:rsidRPr="001F0054">
              <w:rPr>
                <w:color w:val="auto"/>
              </w:rPr>
              <w:t>&lt; 17kg: 1 x 33.75mg/150mg sachet of granules once daily</w:t>
            </w:r>
          </w:p>
        </w:tc>
      </w:tr>
    </w:tbl>
    <w:p w14:paraId="3601679D" w14:textId="77777777" w:rsidR="001F0054" w:rsidRPr="001F0054" w:rsidRDefault="001F0054" w:rsidP="001F0054">
      <w:pPr>
        <w:rPr>
          <w:sz w:val="22"/>
          <w:szCs w:val="22"/>
        </w:rPr>
      </w:pPr>
      <w:r w:rsidRPr="001F0054">
        <w:rPr>
          <w:sz w:val="22"/>
          <w:szCs w:val="22"/>
        </w:rPr>
        <w:br w:type="page"/>
      </w:r>
    </w:p>
    <w:p w14:paraId="6EF0CDBF" w14:textId="368FB6CD" w:rsidR="001F0054" w:rsidRPr="001F0054" w:rsidRDefault="001F0054" w:rsidP="00022B87">
      <w:pPr>
        <w:pStyle w:val="Heading1"/>
      </w:pPr>
      <w:bookmarkStart w:id="7" w:name="_Toc134193772"/>
      <w:r w:rsidRPr="001F0054">
        <w:lastRenderedPageBreak/>
        <w:t>Appendix A: Infant HCV testing algorithm</w:t>
      </w:r>
      <w:r w:rsidR="00022B87">
        <w:t xml:space="preserve"> (NSD610-019.16)</w:t>
      </w:r>
      <w:bookmarkEnd w:id="7"/>
    </w:p>
    <w:p w14:paraId="2711FED1" w14:textId="438B9FA4" w:rsidR="001F0054" w:rsidRPr="001F0054" w:rsidRDefault="00022B87" w:rsidP="00022B87">
      <w:pPr>
        <w:jc w:val="center"/>
        <w:rPr>
          <w:sz w:val="22"/>
          <w:szCs w:val="22"/>
        </w:rPr>
      </w:pPr>
      <w:r>
        <w:rPr>
          <w:noProof/>
        </w:rPr>
        <w:drawing>
          <wp:inline distT="0" distB="0" distL="0" distR="0" wp14:anchorId="5E781E82" wp14:editId="57DAC4AA">
            <wp:extent cx="5320145" cy="7589729"/>
            <wp:effectExtent l="0" t="0" r="0" b="0"/>
            <wp:docPr id="4" name="Picture 4" descr="Infant HCV testing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ant HCV testing algorithm"/>
                    <pic:cNvPicPr/>
                  </pic:nvPicPr>
                  <pic:blipFill rotWithShape="1">
                    <a:blip r:embed="rId10"/>
                    <a:srcRect l="3315" r="19816"/>
                    <a:stretch/>
                  </pic:blipFill>
                  <pic:spPr bwMode="auto">
                    <a:xfrm>
                      <a:off x="0" y="0"/>
                      <a:ext cx="5331628" cy="7606110"/>
                    </a:xfrm>
                    <a:prstGeom prst="rect">
                      <a:avLst/>
                    </a:prstGeom>
                    <a:ln>
                      <a:noFill/>
                    </a:ln>
                    <a:extLst>
                      <a:ext uri="{53640926-AAD7-44D8-BBD7-CCE9431645EC}">
                        <a14:shadowObscured xmlns:a14="http://schemas.microsoft.com/office/drawing/2010/main"/>
                      </a:ext>
                    </a:extLst>
                  </pic:spPr>
                </pic:pic>
              </a:graphicData>
            </a:graphic>
          </wp:inline>
        </w:drawing>
      </w:r>
    </w:p>
    <w:p w14:paraId="78695716" w14:textId="77777777" w:rsidR="001F0054" w:rsidRPr="001F0054" w:rsidRDefault="001F0054" w:rsidP="001F0054">
      <w:pPr>
        <w:rPr>
          <w:sz w:val="22"/>
          <w:szCs w:val="22"/>
        </w:rPr>
      </w:pPr>
    </w:p>
    <w:p w14:paraId="7C3EEBE9" w14:textId="77777777" w:rsidR="001F0054" w:rsidRPr="001F0054" w:rsidRDefault="001F0054" w:rsidP="001F0054">
      <w:pPr>
        <w:rPr>
          <w:sz w:val="22"/>
          <w:szCs w:val="22"/>
        </w:rPr>
      </w:pPr>
    </w:p>
    <w:p w14:paraId="14ED52D7" w14:textId="77777777" w:rsidR="001F0054" w:rsidRPr="001F0054" w:rsidRDefault="001F0054" w:rsidP="001F0054">
      <w:pPr>
        <w:rPr>
          <w:sz w:val="22"/>
          <w:szCs w:val="22"/>
        </w:rPr>
      </w:pPr>
    </w:p>
    <w:p w14:paraId="6F8FCC0F" w14:textId="77777777" w:rsidR="001F0054" w:rsidRPr="001F0054" w:rsidRDefault="001F0054" w:rsidP="001F0054">
      <w:pPr>
        <w:rPr>
          <w:sz w:val="22"/>
          <w:szCs w:val="22"/>
        </w:rPr>
      </w:pPr>
    </w:p>
    <w:p w14:paraId="7A944000" w14:textId="77777777" w:rsidR="001F0054" w:rsidRPr="001F0054" w:rsidRDefault="001F0054" w:rsidP="001F0054">
      <w:pPr>
        <w:rPr>
          <w:sz w:val="22"/>
          <w:szCs w:val="22"/>
        </w:rPr>
      </w:pPr>
    </w:p>
    <w:p w14:paraId="24683737" w14:textId="77777777" w:rsidR="001F0054" w:rsidRPr="001F0054" w:rsidRDefault="001F0054" w:rsidP="001F0054">
      <w:pPr>
        <w:rPr>
          <w:sz w:val="22"/>
          <w:szCs w:val="22"/>
        </w:rPr>
      </w:pPr>
    </w:p>
    <w:p w14:paraId="090819FF" w14:textId="52D819A7" w:rsidR="001F0054" w:rsidRDefault="001F0054" w:rsidP="00022B87">
      <w:pPr>
        <w:pStyle w:val="Heading1"/>
      </w:pPr>
      <w:bookmarkStart w:id="8" w:name="_Toc134193773"/>
      <w:r w:rsidRPr="001F0054">
        <w:lastRenderedPageBreak/>
        <w:t>Appendix B: Paediatric and Adolescent Hepatitis C (HCV) National MDT Assessment and Referral Form</w:t>
      </w:r>
      <w:bookmarkEnd w:id="8"/>
    </w:p>
    <w:p w14:paraId="475D0FCF" w14:textId="77777777" w:rsidR="00022B87" w:rsidRPr="00022B87" w:rsidRDefault="00022B87" w:rsidP="00022B87">
      <w:pPr>
        <w:rPr>
          <w:lang w:eastAsia="en-US"/>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684"/>
        <w:gridCol w:w="2327"/>
        <w:gridCol w:w="835"/>
        <w:gridCol w:w="851"/>
        <w:gridCol w:w="1563"/>
      </w:tblGrid>
      <w:tr w:rsidR="001F0054" w:rsidRPr="001F0054" w14:paraId="34E323B6" w14:textId="77777777" w:rsidTr="00022B87">
        <w:trPr>
          <w:trHeight w:val="379"/>
        </w:trPr>
        <w:tc>
          <w:tcPr>
            <w:tcW w:w="4684" w:type="dxa"/>
            <w:vMerge w:val="restart"/>
            <w:tcBorders>
              <w:top w:val="single" w:sz="4" w:space="0" w:color="auto"/>
              <w:left w:val="single" w:sz="4" w:space="0" w:color="auto"/>
              <w:right w:val="single" w:sz="4" w:space="0" w:color="auto"/>
            </w:tcBorders>
            <w:shd w:val="clear" w:color="auto" w:fill="FFFFFF"/>
          </w:tcPr>
          <w:p w14:paraId="16D9FAEB" w14:textId="77777777" w:rsidR="001F0054" w:rsidRPr="001F0054" w:rsidRDefault="001F0054" w:rsidP="001F0054">
            <w:pPr>
              <w:jc w:val="both"/>
              <w:rPr>
                <w:color w:val="auto"/>
                <w:sz w:val="20"/>
                <w:szCs w:val="20"/>
              </w:rPr>
            </w:pPr>
            <w:r w:rsidRPr="001F0054">
              <w:rPr>
                <w:color w:val="auto"/>
                <w:sz w:val="20"/>
                <w:szCs w:val="20"/>
              </w:rPr>
              <w:t xml:space="preserve">CHI: </w:t>
            </w:r>
          </w:p>
          <w:p w14:paraId="437BD473" w14:textId="77777777" w:rsidR="001F0054" w:rsidRPr="001F0054" w:rsidRDefault="001F0054" w:rsidP="001F0054">
            <w:pPr>
              <w:jc w:val="both"/>
              <w:rPr>
                <w:color w:val="auto"/>
                <w:sz w:val="20"/>
                <w:szCs w:val="20"/>
              </w:rPr>
            </w:pPr>
          </w:p>
          <w:p w14:paraId="009219C5" w14:textId="77777777" w:rsidR="001F0054" w:rsidRPr="001F0054" w:rsidRDefault="001F0054" w:rsidP="001F0054">
            <w:pPr>
              <w:jc w:val="both"/>
              <w:rPr>
                <w:color w:val="auto"/>
                <w:sz w:val="20"/>
                <w:szCs w:val="20"/>
              </w:rPr>
            </w:pPr>
            <w:r w:rsidRPr="001F0054">
              <w:rPr>
                <w:color w:val="auto"/>
                <w:sz w:val="20"/>
                <w:szCs w:val="20"/>
              </w:rPr>
              <w:t>Initials:</w:t>
            </w:r>
          </w:p>
        </w:tc>
        <w:tc>
          <w:tcPr>
            <w:tcW w:w="5576" w:type="dxa"/>
            <w:gridSpan w:val="4"/>
            <w:tcBorders>
              <w:top w:val="single" w:sz="4" w:space="0" w:color="auto"/>
              <w:left w:val="single" w:sz="4" w:space="0" w:color="auto"/>
              <w:bottom w:val="single" w:sz="4" w:space="0" w:color="auto"/>
              <w:right w:val="single" w:sz="4" w:space="0" w:color="auto"/>
            </w:tcBorders>
            <w:shd w:val="clear" w:color="auto" w:fill="FFFFFF"/>
          </w:tcPr>
          <w:p w14:paraId="7FF353CF" w14:textId="77777777" w:rsidR="001F0054" w:rsidRPr="001F0054" w:rsidRDefault="001F0054" w:rsidP="001F0054">
            <w:pPr>
              <w:rPr>
                <w:color w:val="auto"/>
                <w:sz w:val="20"/>
                <w:szCs w:val="20"/>
              </w:rPr>
            </w:pPr>
            <w:r w:rsidRPr="001F0054">
              <w:rPr>
                <w:color w:val="auto"/>
                <w:sz w:val="20"/>
                <w:szCs w:val="20"/>
              </w:rPr>
              <w:t>Date of Assessment:</w:t>
            </w:r>
          </w:p>
        </w:tc>
      </w:tr>
      <w:tr w:rsidR="001F0054" w:rsidRPr="001F0054" w14:paraId="08BBA67D" w14:textId="77777777" w:rsidTr="00022B87">
        <w:trPr>
          <w:trHeight w:val="492"/>
        </w:trPr>
        <w:tc>
          <w:tcPr>
            <w:tcW w:w="4684" w:type="dxa"/>
            <w:vMerge/>
            <w:tcBorders>
              <w:left w:val="single" w:sz="4" w:space="0" w:color="auto"/>
              <w:bottom w:val="single" w:sz="4" w:space="0" w:color="auto"/>
              <w:right w:val="single" w:sz="4" w:space="0" w:color="auto"/>
            </w:tcBorders>
            <w:shd w:val="clear" w:color="auto" w:fill="FFFFFF"/>
          </w:tcPr>
          <w:p w14:paraId="08DDD7B6" w14:textId="77777777" w:rsidR="001F0054" w:rsidRPr="001F0054" w:rsidRDefault="001F0054" w:rsidP="001F0054">
            <w:pPr>
              <w:rPr>
                <w:color w:val="auto"/>
                <w:sz w:val="20"/>
                <w:szCs w:val="20"/>
              </w:rPr>
            </w:pPr>
          </w:p>
        </w:tc>
        <w:tc>
          <w:tcPr>
            <w:tcW w:w="2327" w:type="dxa"/>
            <w:tcBorders>
              <w:left w:val="single" w:sz="4" w:space="0" w:color="auto"/>
              <w:bottom w:val="single" w:sz="4" w:space="0" w:color="auto"/>
            </w:tcBorders>
            <w:shd w:val="clear" w:color="auto" w:fill="E7E6E6"/>
          </w:tcPr>
          <w:p w14:paraId="41A90562" w14:textId="77777777" w:rsidR="001F0054" w:rsidRPr="001F0054" w:rsidRDefault="001F0054" w:rsidP="001F0054">
            <w:pPr>
              <w:rPr>
                <w:b/>
                <w:color w:val="auto"/>
                <w:sz w:val="20"/>
                <w:szCs w:val="20"/>
              </w:rPr>
            </w:pPr>
            <w:r w:rsidRPr="001F0054">
              <w:rPr>
                <w:b/>
                <w:color w:val="auto"/>
                <w:sz w:val="20"/>
                <w:szCs w:val="20"/>
              </w:rPr>
              <w:t>BBV Screen</w:t>
            </w:r>
          </w:p>
          <w:p w14:paraId="0C405726" w14:textId="77777777" w:rsidR="001F0054" w:rsidRPr="001F0054" w:rsidRDefault="001F0054" w:rsidP="001F0054">
            <w:pPr>
              <w:rPr>
                <w:color w:val="auto"/>
                <w:sz w:val="20"/>
                <w:szCs w:val="20"/>
              </w:rPr>
            </w:pPr>
            <w:r w:rsidRPr="001F0054">
              <w:rPr>
                <w:b/>
                <w:color w:val="auto"/>
                <w:sz w:val="20"/>
                <w:szCs w:val="20"/>
              </w:rPr>
              <w:t>(</w:t>
            </w:r>
            <w:proofErr w:type="gramStart"/>
            <w:r w:rsidRPr="001F0054">
              <w:rPr>
                <w:b/>
                <w:color w:val="auto"/>
                <w:sz w:val="20"/>
                <w:szCs w:val="20"/>
              </w:rPr>
              <w:t>within</w:t>
            </w:r>
            <w:proofErr w:type="gramEnd"/>
            <w:r w:rsidRPr="001F0054">
              <w:rPr>
                <w:b/>
                <w:color w:val="auto"/>
                <w:sz w:val="20"/>
                <w:szCs w:val="20"/>
              </w:rPr>
              <w:t xml:space="preserve"> 6 months prior to treatment start)</w:t>
            </w:r>
          </w:p>
        </w:tc>
        <w:tc>
          <w:tcPr>
            <w:tcW w:w="835" w:type="dxa"/>
            <w:shd w:val="clear" w:color="auto" w:fill="E7E6E6"/>
          </w:tcPr>
          <w:p w14:paraId="1B5BF86A" w14:textId="77777777" w:rsidR="001F0054" w:rsidRPr="001F0054" w:rsidRDefault="001F0054" w:rsidP="001F0054">
            <w:pPr>
              <w:rPr>
                <w:color w:val="auto"/>
                <w:sz w:val="20"/>
                <w:szCs w:val="20"/>
              </w:rPr>
            </w:pPr>
            <w:r w:rsidRPr="001F0054">
              <w:rPr>
                <w:color w:val="auto"/>
                <w:sz w:val="20"/>
                <w:szCs w:val="20"/>
              </w:rPr>
              <w:t>Neg</w:t>
            </w:r>
          </w:p>
        </w:tc>
        <w:tc>
          <w:tcPr>
            <w:tcW w:w="851" w:type="dxa"/>
            <w:shd w:val="clear" w:color="auto" w:fill="E7E6E6"/>
          </w:tcPr>
          <w:p w14:paraId="3255C969" w14:textId="77777777" w:rsidR="001F0054" w:rsidRPr="001F0054" w:rsidRDefault="001F0054" w:rsidP="001F0054">
            <w:pPr>
              <w:rPr>
                <w:color w:val="auto"/>
                <w:sz w:val="20"/>
                <w:szCs w:val="20"/>
              </w:rPr>
            </w:pPr>
            <w:proofErr w:type="spellStart"/>
            <w:r w:rsidRPr="001F0054">
              <w:rPr>
                <w:color w:val="auto"/>
                <w:sz w:val="20"/>
                <w:szCs w:val="20"/>
              </w:rPr>
              <w:t>Pos</w:t>
            </w:r>
            <w:proofErr w:type="spellEnd"/>
          </w:p>
          <w:p w14:paraId="201C7EE3" w14:textId="77777777" w:rsidR="001F0054" w:rsidRPr="001F0054" w:rsidRDefault="001F0054" w:rsidP="001F0054">
            <w:pPr>
              <w:rPr>
                <w:color w:val="auto"/>
                <w:sz w:val="20"/>
                <w:szCs w:val="20"/>
              </w:rPr>
            </w:pPr>
          </w:p>
        </w:tc>
        <w:tc>
          <w:tcPr>
            <w:tcW w:w="1563" w:type="dxa"/>
            <w:shd w:val="clear" w:color="auto" w:fill="E7E6E6"/>
          </w:tcPr>
          <w:p w14:paraId="003C97B8" w14:textId="77777777" w:rsidR="001F0054" w:rsidRPr="001F0054" w:rsidRDefault="001F0054" w:rsidP="001F0054">
            <w:pPr>
              <w:rPr>
                <w:color w:val="auto"/>
                <w:sz w:val="20"/>
                <w:szCs w:val="20"/>
              </w:rPr>
            </w:pPr>
            <w:r w:rsidRPr="001F0054">
              <w:rPr>
                <w:color w:val="auto"/>
                <w:sz w:val="20"/>
                <w:szCs w:val="20"/>
              </w:rPr>
              <w:t>Date of Test</w:t>
            </w:r>
          </w:p>
          <w:p w14:paraId="2F952BBC" w14:textId="77777777" w:rsidR="001F0054" w:rsidRPr="001F0054" w:rsidRDefault="001F0054" w:rsidP="001F0054">
            <w:pPr>
              <w:rPr>
                <w:color w:val="auto"/>
                <w:sz w:val="20"/>
                <w:szCs w:val="20"/>
              </w:rPr>
            </w:pPr>
          </w:p>
        </w:tc>
      </w:tr>
      <w:tr w:rsidR="001F0054" w:rsidRPr="001F0054" w14:paraId="3C74CCA0" w14:textId="77777777" w:rsidTr="00022B87">
        <w:trPr>
          <w:trHeight w:val="270"/>
        </w:trPr>
        <w:tc>
          <w:tcPr>
            <w:tcW w:w="4684" w:type="dxa"/>
            <w:vMerge w:val="restart"/>
            <w:shd w:val="clear" w:color="auto" w:fill="FFFFFF"/>
          </w:tcPr>
          <w:p w14:paraId="21EECD72" w14:textId="77777777" w:rsidR="001F0054" w:rsidRPr="001F0054" w:rsidRDefault="001F0054" w:rsidP="001F0054">
            <w:pPr>
              <w:rPr>
                <w:color w:val="auto"/>
                <w:sz w:val="20"/>
                <w:szCs w:val="20"/>
              </w:rPr>
            </w:pPr>
            <w:r w:rsidRPr="001F0054">
              <w:rPr>
                <w:color w:val="auto"/>
                <w:sz w:val="20"/>
                <w:szCs w:val="20"/>
              </w:rPr>
              <w:t xml:space="preserve">Previous HCV </w:t>
            </w:r>
            <w:proofErr w:type="gramStart"/>
            <w:r w:rsidRPr="001F0054">
              <w:rPr>
                <w:color w:val="auto"/>
                <w:sz w:val="20"/>
                <w:szCs w:val="20"/>
              </w:rPr>
              <w:t>Treatment  Yes</w:t>
            </w:r>
            <w:proofErr w:type="gramEnd"/>
            <w:r w:rsidRPr="001F0054">
              <w:rPr>
                <w:color w:val="auto"/>
                <w:sz w:val="20"/>
                <w:szCs w:val="20"/>
              </w:rPr>
              <w:t xml:space="preserve"> □   No  □</w:t>
            </w:r>
          </w:p>
          <w:p w14:paraId="614C658E" w14:textId="77777777" w:rsidR="001F0054" w:rsidRPr="001F0054" w:rsidRDefault="001F0054" w:rsidP="001F0054">
            <w:pPr>
              <w:rPr>
                <w:color w:val="auto"/>
                <w:sz w:val="20"/>
                <w:szCs w:val="20"/>
              </w:rPr>
            </w:pPr>
            <w:r w:rsidRPr="001F0054">
              <w:rPr>
                <w:color w:val="auto"/>
                <w:sz w:val="20"/>
                <w:szCs w:val="20"/>
              </w:rPr>
              <w:t xml:space="preserve">If Yes, provide </w:t>
            </w:r>
            <w:proofErr w:type="gramStart"/>
            <w:r w:rsidRPr="001F0054">
              <w:rPr>
                <w:color w:val="auto"/>
                <w:sz w:val="20"/>
                <w:szCs w:val="20"/>
              </w:rPr>
              <w:t>details:_</w:t>
            </w:r>
            <w:proofErr w:type="gramEnd"/>
            <w:r w:rsidRPr="001F0054">
              <w:rPr>
                <w:color w:val="auto"/>
                <w:sz w:val="20"/>
                <w:szCs w:val="20"/>
              </w:rPr>
              <w:t>_________________</w:t>
            </w:r>
          </w:p>
        </w:tc>
        <w:tc>
          <w:tcPr>
            <w:tcW w:w="2327" w:type="dxa"/>
            <w:shd w:val="clear" w:color="auto" w:fill="FFFFFF"/>
          </w:tcPr>
          <w:p w14:paraId="4AE0DBF1" w14:textId="77777777" w:rsidR="001F0054" w:rsidRPr="001F0054" w:rsidRDefault="001F0054" w:rsidP="001F0054">
            <w:pPr>
              <w:rPr>
                <w:color w:val="auto"/>
                <w:sz w:val="20"/>
                <w:szCs w:val="20"/>
              </w:rPr>
            </w:pPr>
            <w:r w:rsidRPr="001F0054">
              <w:rPr>
                <w:color w:val="auto"/>
                <w:sz w:val="20"/>
                <w:szCs w:val="20"/>
              </w:rPr>
              <w:t xml:space="preserve">HIV antibody </w:t>
            </w:r>
          </w:p>
        </w:tc>
        <w:tc>
          <w:tcPr>
            <w:tcW w:w="835" w:type="dxa"/>
            <w:shd w:val="clear" w:color="auto" w:fill="FFFFFF"/>
          </w:tcPr>
          <w:p w14:paraId="2F6280D9" w14:textId="77777777" w:rsidR="001F0054" w:rsidRPr="001F0054" w:rsidRDefault="001F0054" w:rsidP="001F0054">
            <w:pPr>
              <w:rPr>
                <w:color w:val="auto"/>
                <w:sz w:val="20"/>
                <w:szCs w:val="20"/>
              </w:rPr>
            </w:pPr>
          </w:p>
        </w:tc>
        <w:tc>
          <w:tcPr>
            <w:tcW w:w="851" w:type="dxa"/>
            <w:shd w:val="clear" w:color="auto" w:fill="FFFFFF"/>
          </w:tcPr>
          <w:p w14:paraId="70F5C591" w14:textId="77777777" w:rsidR="001F0054" w:rsidRPr="001F0054" w:rsidRDefault="001F0054" w:rsidP="001F0054">
            <w:pPr>
              <w:rPr>
                <w:color w:val="auto"/>
                <w:sz w:val="20"/>
                <w:szCs w:val="20"/>
              </w:rPr>
            </w:pPr>
          </w:p>
        </w:tc>
        <w:tc>
          <w:tcPr>
            <w:tcW w:w="1563" w:type="dxa"/>
            <w:shd w:val="clear" w:color="auto" w:fill="FFFFFF"/>
          </w:tcPr>
          <w:p w14:paraId="1FA9497C" w14:textId="77777777" w:rsidR="001F0054" w:rsidRPr="001F0054" w:rsidRDefault="001F0054" w:rsidP="001F0054">
            <w:pPr>
              <w:rPr>
                <w:color w:val="auto"/>
                <w:sz w:val="20"/>
                <w:szCs w:val="20"/>
              </w:rPr>
            </w:pPr>
          </w:p>
        </w:tc>
      </w:tr>
      <w:tr w:rsidR="001F0054" w:rsidRPr="001F0054" w14:paraId="43DCF87A" w14:textId="77777777" w:rsidTr="00022B87">
        <w:trPr>
          <w:trHeight w:val="270"/>
        </w:trPr>
        <w:tc>
          <w:tcPr>
            <w:tcW w:w="4684" w:type="dxa"/>
            <w:vMerge/>
            <w:tcBorders>
              <w:bottom w:val="single" w:sz="4" w:space="0" w:color="auto"/>
            </w:tcBorders>
            <w:shd w:val="clear" w:color="auto" w:fill="FFFFFF"/>
          </w:tcPr>
          <w:p w14:paraId="67DAE0E7" w14:textId="77777777" w:rsidR="001F0054" w:rsidRPr="001F0054" w:rsidRDefault="001F0054" w:rsidP="001F0054">
            <w:pPr>
              <w:rPr>
                <w:color w:val="auto"/>
                <w:sz w:val="20"/>
                <w:szCs w:val="20"/>
              </w:rPr>
            </w:pPr>
          </w:p>
        </w:tc>
        <w:tc>
          <w:tcPr>
            <w:tcW w:w="2327" w:type="dxa"/>
            <w:shd w:val="clear" w:color="auto" w:fill="FFFFFF"/>
          </w:tcPr>
          <w:p w14:paraId="52F2E265" w14:textId="77777777" w:rsidR="001F0054" w:rsidRPr="001F0054" w:rsidRDefault="001F0054" w:rsidP="001F0054">
            <w:pPr>
              <w:rPr>
                <w:color w:val="auto"/>
                <w:sz w:val="20"/>
                <w:szCs w:val="20"/>
              </w:rPr>
            </w:pPr>
            <w:r w:rsidRPr="001F0054">
              <w:rPr>
                <w:color w:val="auto"/>
                <w:sz w:val="20"/>
                <w:szCs w:val="20"/>
              </w:rPr>
              <w:t>HBsAg</w:t>
            </w:r>
          </w:p>
        </w:tc>
        <w:tc>
          <w:tcPr>
            <w:tcW w:w="835" w:type="dxa"/>
            <w:shd w:val="clear" w:color="auto" w:fill="FFFFFF"/>
          </w:tcPr>
          <w:p w14:paraId="4AE42CC9" w14:textId="77777777" w:rsidR="001F0054" w:rsidRPr="001F0054" w:rsidRDefault="001F0054" w:rsidP="001F0054">
            <w:pPr>
              <w:rPr>
                <w:color w:val="auto"/>
                <w:sz w:val="20"/>
                <w:szCs w:val="20"/>
              </w:rPr>
            </w:pPr>
          </w:p>
        </w:tc>
        <w:tc>
          <w:tcPr>
            <w:tcW w:w="851" w:type="dxa"/>
            <w:shd w:val="clear" w:color="auto" w:fill="FFFFFF"/>
          </w:tcPr>
          <w:p w14:paraId="2E96EAAB" w14:textId="77777777" w:rsidR="001F0054" w:rsidRPr="001F0054" w:rsidRDefault="001F0054" w:rsidP="001F0054">
            <w:pPr>
              <w:rPr>
                <w:color w:val="auto"/>
                <w:sz w:val="20"/>
                <w:szCs w:val="20"/>
              </w:rPr>
            </w:pPr>
          </w:p>
        </w:tc>
        <w:tc>
          <w:tcPr>
            <w:tcW w:w="1563" w:type="dxa"/>
            <w:shd w:val="clear" w:color="auto" w:fill="FFFFFF"/>
          </w:tcPr>
          <w:p w14:paraId="6EB57F2E" w14:textId="77777777" w:rsidR="001F0054" w:rsidRPr="001F0054" w:rsidRDefault="001F0054" w:rsidP="001F0054">
            <w:pPr>
              <w:rPr>
                <w:color w:val="auto"/>
                <w:sz w:val="20"/>
                <w:szCs w:val="20"/>
              </w:rPr>
            </w:pPr>
          </w:p>
        </w:tc>
      </w:tr>
      <w:tr w:rsidR="001F0054" w:rsidRPr="001F0054" w14:paraId="351C9130" w14:textId="77777777" w:rsidTr="00022B87">
        <w:trPr>
          <w:trHeight w:val="70"/>
        </w:trPr>
        <w:tc>
          <w:tcPr>
            <w:tcW w:w="4684" w:type="dxa"/>
            <w:vMerge w:val="restart"/>
            <w:shd w:val="clear" w:color="auto" w:fill="E0E0E0"/>
          </w:tcPr>
          <w:p w14:paraId="0F354866" w14:textId="77777777" w:rsidR="001F0054" w:rsidRPr="001F0054" w:rsidRDefault="001F0054" w:rsidP="001F0054">
            <w:pPr>
              <w:rPr>
                <w:b/>
                <w:color w:val="auto"/>
                <w:sz w:val="20"/>
                <w:szCs w:val="20"/>
              </w:rPr>
            </w:pPr>
            <w:r w:rsidRPr="001F0054">
              <w:rPr>
                <w:b/>
                <w:color w:val="auto"/>
                <w:sz w:val="20"/>
                <w:szCs w:val="20"/>
              </w:rPr>
              <w:t>Disease Stage</w:t>
            </w:r>
          </w:p>
        </w:tc>
        <w:tc>
          <w:tcPr>
            <w:tcW w:w="2327" w:type="dxa"/>
            <w:tcBorders>
              <w:bottom w:val="single" w:sz="4" w:space="0" w:color="auto"/>
            </w:tcBorders>
            <w:shd w:val="clear" w:color="auto" w:fill="FFFFFF"/>
          </w:tcPr>
          <w:p w14:paraId="0A273000" w14:textId="77777777" w:rsidR="001F0054" w:rsidRPr="001F0054" w:rsidRDefault="001F0054" w:rsidP="001F0054">
            <w:pPr>
              <w:rPr>
                <w:rFonts w:eastAsia="TT15Ct00"/>
                <w:color w:val="auto"/>
                <w:sz w:val="20"/>
                <w:szCs w:val="20"/>
              </w:rPr>
            </w:pPr>
            <w:r w:rsidRPr="001F0054">
              <w:rPr>
                <w:rFonts w:eastAsia="TT15Ct00"/>
                <w:color w:val="auto"/>
                <w:sz w:val="20"/>
                <w:szCs w:val="20"/>
              </w:rPr>
              <w:t>anti-HBc antibody</w:t>
            </w:r>
          </w:p>
        </w:tc>
        <w:tc>
          <w:tcPr>
            <w:tcW w:w="835" w:type="dxa"/>
            <w:tcBorders>
              <w:bottom w:val="single" w:sz="4" w:space="0" w:color="auto"/>
            </w:tcBorders>
            <w:shd w:val="clear" w:color="auto" w:fill="FFFFFF"/>
          </w:tcPr>
          <w:p w14:paraId="1C69134B" w14:textId="77777777" w:rsidR="001F0054" w:rsidRPr="001F0054" w:rsidRDefault="001F0054" w:rsidP="001F0054">
            <w:pPr>
              <w:rPr>
                <w:color w:val="auto"/>
                <w:sz w:val="20"/>
                <w:szCs w:val="20"/>
              </w:rPr>
            </w:pPr>
          </w:p>
        </w:tc>
        <w:tc>
          <w:tcPr>
            <w:tcW w:w="851" w:type="dxa"/>
            <w:tcBorders>
              <w:bottom w:val="single" w:sz="4" w:space="0" w:color="auto"/>
            </w:tcBorders>
            <w:shd w:val="clear" w:color="auto" w:fill="FFFFFF"/>
          </w:tcPr>
          <w:p w14:paraId="0615ECEE" w14:textId="77777777" w:rsidR="001F0054" w:rsidRPr="001F0054" w:rsidRDefault="001F0054" w:rsidP="001F0054">
            <w:pPr>
              <w:rPr>
                <w:color w:val="auto"/>
                <w:sz w:val="20"/>
                <w:szCs w:val="20"/>
              </w:rPr>
            </w:pPr>
          </w:p>
        </w:tc>
        <w:tc>
          <w:tcPr>
            <w:tcW w:w="1563" w:type="dxa"/>
            <w:tcBorders>
              <w:bottom w:val="single" w:sz="4" w:space="0" w:color="auto"/>
            </w:tcBorders>
            <w:shd w:val="clear" w:color="auto" w:fill="FFFFFF"/>
          </w:tcPr>
          <w:p w14:paraId="122F2148" w14:textId="77777777" w:rsidR="001F0054" w:rsidRPr="001F0054" w:rsidRDefault="001F0054" w:rsidP="001F0054">
            <w:pPr>
              <w:rPr>
                <w:color w:val="auto"/>
                <w:sz w:val="20"/>
                <w:szCs w:val="20"/>
              </w:rPr>
            </w:pPr>
          </w:p>
        </w:tc>
      </w:tr>
      <w:tr w:rsidR="001F0054" w:rsidRPr="001F0054" w14:paraId="0F211FD3" w14:textId="77777777" w:rsidTr="00022B87">
        <w:trPr>
          <w:trHeight w:val="157"/>
        </w:trPr>
        <w:tc>
          <w:tcPr>
            <w:tcW w:w="4684" w:type="dxa"/>
            <w:vMerge/>
            <w:shd w:val="clear" w:color="auto" w:fill="E0E0E0"/>
          </w:tcPr>
          <w:p w14:paraId="23FAA399" w14:textId="77777777" w:rsidR="001F0054" w:rsidRPr="001F0054" w:rsidRDefault="001F0054" w:rsidP="001F0054">
            <w:pPr>
              <w:rPr>
                <w:color w:val="auto"/>
                <w:sz w:val="20"/>
                <w:szCs w:val="20"/>
              </w:rPr>
            </w:pPr>
          </w:p>
        </w:tc>
        <w:tc>
          <w:tcPr>
            <w:tcW w:w="2327" w:type="dxa"/>
            <w:shd w:val="clear" w:color="auto" w:fill="E7E6E6"/>
          </w:tcPr>
          <w:p w14:paraId="6162F128" w14:textId="77777777" w:rsidR="001F0054" w:rsidRPr="001F0054" w:rsidRDefault="001F0054" w:rsidP="001F0054">
            <w:pPr>
              <w:rPr>
                <w:color w:val="auto"/>
                <w:sz w:val="20"/>
                <w:szCs w:val="20"/>
              </w:rPr>
            </w:pPr>
          </w:p>
        </w:tc>
        <w:tc>
          <w:tcPr>
            <w:tcW w:w="1686" w:type="dxa"/>
            <w:gridSpan w:val="2"/>
            <w:shd w:val="clear" w:color="auto" w:fill="E7E6E6"/>
          </w:tcPr>
          <w:p w14:paraId="2BCA7DCC" w14:textId="77777777" w:rsidR="001F0054" w:rsidRPr="001F0054" w:rsidRDefault="001F0054" w:rsidP="001F0054">
            <w:pPr>
              <w:rPr>
                <w:color w:val="auto"/>
                <w:sz w:val="20"/>
                <w:szCs w:val="20"/>
              </w:rPr>
            </w:pPr>
            <w:r w:rsidRPr="001F0054">
              <w:rPr>
                <w:color w:val="auto"/>
                <w:sz w:val="20"/>
                <w:szCs w:val="20"/>
              </w:rPr>
              <w:t>Result</w:t>
            </w:r>
          </w:p>
        </w:tc>
        <w:tc>
          <w:tcPr>
            <w:tcW w:w="1563" w:type="dxa"/>
            <w:shd w:val="clear" w:color="auto" w:fill="E7E6E6"/>
          </w:tcPr>
          <w:p w14:paraId="1248D507" w14:textId="77777777" w:rsidR="001F0054" w:rsidRPr="001F0054" w:rsidRDefault="001F0054" w:rsidP="001F0054">
            <w:pPr>
              <w:rPr>
                <w:color w:val="auto"/>
                <w:sz w:val="20"/>
                <w:szCs w:val="20"/>
              </w:rPr>
            </w:pPr>
            <w:r w:rsidRPr="001F0054">
              <w:rPr>
                <w:color w:val="auto"/>
                <w:sz w:val="20"/>
                <w:szCs w:val="20"/>
              </w:rPr>
              <w:t>Date of Test</w:t>
            </w:r>
          </w:p>
        </w:tc>
      </w:tr>
      <w:tr w:rsidR="001F0054" w:rsidRPr="001F0054" w14:paraId="03304F6B" w14:textId="77777777" w:rsidTr="00022B87">
        <w:trPr>
          <w:trHeight w:val="276"/>
        </w:trPr>
        <w:tc>
          <w:tcPr>
            <w:tcW w:w="4684" w:type="dxa"/>
            <w:vMerge w:val="restart"/>
            <w:shd w:val="clear" w:color="auto" w:fill="FFFFFF"/>
          </w:tcPr>
          <w:p w14:paraId="04CE9090" w14:textId="77777777" w:rsidR="001F0054" w:rsidRPr="001F0054" w:rsidRDefault="001F0054" w:rsidP="001F0054">
            <w:pPr>
              <w:rPr>
                <w:color w:val="auto"/>
                <w:sz w:val="20"/>
                <w:szCs w:val="20"/>
              </w:rPr>
            </w:pPr>
            <w:proofErr w:type="spellStart"/>
            <w:r w:rsidRPr="001F0054">
              <w:rPr>
                <w:color w:val="auto"/>
                <w:sz w:val="20"/>
                <w:szCs w:val="20"/>
              </w:rPr>
              <w:t>Fibroscan</w:t>
            </w:r>
            <w:proofErr w:type="spellEnd"/>
            <w:r w:rsidRPr="001F0054">
              <w:rPr>
                <w:color w:val="auto"/>
                <w:sz w:val="20"/>
                <w:szCs w:val="20"/>
              </w:rPr>
              <w:t xml:space="preserve"> Yes □   </w:t>
            </w:r>
            <w:proofErr w:type="gramStart"/>
            <w:r w:rsidRPr="001F0054">
              <w:rPr>
                <w:color w:val="auto"/>
                <w:sz w:val="20"/>
                <w:szCs w:val="20"/>
              </w:rPr>
              <w:t>No  □</w:t>
            </w:r>
            <w:proofErr w:type="gramEnd"/>
            <w:r w:rsidRPr="001F0054">
              <w:rPr>
                <w:color w:val="auto"/>
                <w:sz w:val="20"/>
                <w:szCs w:val="20"/>
              </w:rPr>
              <w:t xml:space="preserve">  N/A □</w:t>
            </w:r>
          </w:p>
          <w:p w14:paraId="038C8C8E" w14:textId="77777777" w:rsidR="001F0054" w:rsidRPr="001F0054" w:rsidRDefault="001F0054" w:rsidP="001F0054">
            <w:pPr>
              <w:rPr>
                <w:color w:val="auto"/>
                <w:sz w:val="20"/>
                <w:szCs w:val="20"/>
              </w:rPr>
            </w:pPr>
            <w:r w:rsidRPr="001F0054">
              <w:rPr>
                <w:color w:val="auto"/>
                <w:sz w:val="20"/>
                <w:szCs w:val="20"/>
              </w:rPr>
              <w:t xml:space="preserve">If </w:t>
            </w:r>
            <w:proofErr w:type="gramStart"/>
            <w:r w:rsidRPr="001F0054">
              <w:rPr>
                <w:color w:val="auto"/>
                <w:sz w:val="20"/>
                <w:szCs w:val="20"/>
              </w:rPr>
              <w:t>Yes</w:t>
            </w:r>
            <w:proofErr w:type="gramEnd"/>
            <w:r w:rsidRPr="001F0054">
              <w:rPr>
                <w:color w:val="auto"/>
                <w:sz w:val="20"/>
                <w:szCs w:val="20"/>
              </w:rPr>
              <w:t>, result and date: ___________________________________</w:t>
            </w:r>
          </w:p>
        </w:tc>
        <w:tc>
          <w:tcPr>
            <w:tcW w:w="2327" w:type="dxa"/>
            <w:tcBorders>
              <w:bottom w:val="single" w:sz="4" w:space="0" w:color="auto"/>
            </w:tcBorders>
            <w:shd w:val="clear" w:color="auto" w:fill="FFFFFF"/>
          </w:tcPr>
          <w:p w14:paraId="41F8C574" w14:textId="77777777" w:rsidR="001F0054" w:rsidRPr="001F0054" w:rsidRDefault="001F0054" w:rsidP="001F0054">
            <w:pPr>
              <w:rPr>
                <w:color w:val="auto"/>
                <w:sz w:val="20"/>
                <w:szCs w:val="20"/>
              </w:rPr>
            </w:pPr>
            <w:r w:rsidRPr="001F0054">
              <w:rPr>
                <w:color w:val="auto"/>
                <w:sz w:val="20"/>
                <w:szCs w:val="20"/>
              </w:rPr>
              <w:t>Anti-HBs</w:t>
            </w:r>
          </w:p>
        </w:tc>
        <w:tc>
          <w:tcPr>
            <w:tcW w:w="1686" w:type="dxa"/>
            <w:gridSpan w:val="2"/>
            <w:tcBorders>
              <w:bottom w:val="single" w:sz="4" w:space="0" w:color="auto"/>
            </w:tcBorders>
            <w:shd w:val="clear" w:color="auto" w:fill="FFFFFF"/>
          </w:tcPr>
          <w:p w14:paraId="7FBBD0DF" w14:textId="77777777" w:rsidR="001F0054" w:rsidRPr="001F0054" w:rsidRDefault="001F0054" w:rsidP="001F0054">
            <w:pPr>
              <w:rPr>
                <w:color w:val="auto"/>
                <w:sz w:val="20"/>
                <w:szCs w:val="20"/>
              </w:rPr>
            </w:pPr>
          </w:p>
        </w:tc>
        <w:tc>
          <w:tcPr>
            <w:tcW w:w="1563" w:type="dxa"/>
            <w:tcBorders>
              <w:bottom w:val="single" w:sz="4" w:space="0" w:color="auto"/>
            </w:tcBorders>
            <w:shd w:val="clear" w:color="auto" w:fill="FFFFFF"/>
          </w:tcPr>
          <w:p w14:paraId="63490421" w14:textId="77777777" w:rsidR="001F0054" w:rsidRPr="001F0054" w:rsidRDefault="001F0054" w:rsidP="001F0054">
            <w:pPr>
              <w:rPr>
                <w:color w:val="auto"/>
                <w:sz w:val="20"/>
                <w:szCs w:val="20"/>
              </w:rPr>
            </w:pPr>
          </w:p>
        </w:tc>
      </w:tr>
      <w:tr w:rsidR="001F0054" w:rsidRPr="001F0054" w14:paraId="0786153F" w14:textId="77777777" w:rsidTr="00022B87">
        <w:trPr>
          <w:trHeight w:val="225"/>
        </w:trPr>
        <w:tc>
          <w:tcPr>
            <w:tcW w:w="4684" w:type="dxa"/>
            <w:vMerge/>
            <w:shd w:val="clear" w:color="auto" w:fill="FFFFFF"/>
          </w:tcPr>
          <w:p w14:paraId="6F635EC9"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FFFFFF"/>
          </w:tcPr>
          <w:p w14:paraId="52383796" w14:textId="77777777" w:rsidR="001F0054" w:rsidRPr="001F0054" w:rsidRDefault="001F0054" w:rsidP="001F0054">
            <w:pPr>
              <w:rPr>
                <w:color w:val="auto"/>
                <w:sz w:val="20"/>
                <w:szCs w:val="20"/>
              </w:rPr>
            </w:pPr>
            <w:r w:rsidRPr="001F0054">
              <w:rPr>
                <w:color w:val="auto"/>
                <w:sz w:val="20"/>
                <w:szCs w:val="20"/>
              </w:rPr>
              <w:t>HCV PCR</w:t>
            </w:r>
          </w:p>
        </w:tc>
        <w:tc>
          <w:tcPr>
            <w:tcW w:w="1686" w:type="dxa"/>
            <w:gridSpan w:val="2"/>
            <w:tcBorders>
              <w:top w:val="single" w:sz="4" w:space="0" w:color="auto"/>
              <w:bottom w:val="nil"/>
            </w:tcBorders>
            <w:shd w:val="clear" w:color="auto" w:fill="FFFFFF"/>
          </w:tcPr>
          <w:p w14:paraId="51B95BEB" w14:textId="77777777" w:rsidR="001F0054" w:rsidRPr="001F0054" w:rsidRDefault="001F0054" w:rsidP="001F0054">
            <w:pPr>
              <w:rPr>
                <w:color w:val="auto"/>
                <w:sz w:val="20"/>
                <w:szCs w:val="20"/>
              </w:rPr>
            </w:pPr>
          </w:p>
        </w:tc>
        <w:tc>
          <w:tcPr>
            <w:tcW w:w="1563" w:type="dxa"/>
            <w:tcBorders>
              <w:top w:val="single" w:sz="4" w:space="0" w:color="auto"/>
              <w:bottom w:val="nil"/>
            </w:tcBorders>
            <w:shd w:val="clear" w:color="auto" w:fill="FFFFFF"/>
          </w:tcPr>
          <w:p w14:paraId="4F082BD3" w14:textId="77777777" w:rsidR="001F0054" w:rsidRPr="001F0054" w:rsidRDefault="001F0054" w:rsidP="001F0054">
            <w:pPr>
              <w:rPr>
                <w:color w:val="auto"/>
                <w:sz w:val="20"/>
                <w:szCs w:val="20"/>
              </w:rPr>
            </w:pPr>
          </w:p>
        </w:tc>
      </w:tr>
      <w:tr w:rsidR="001F0054" w:rsidRPr="001F0054" w14:paraId="47686576" w14:textId="77777777" w:rsidTr="00022B87">
        <w:trPr>
          <w:trHeight w:val="225"/>
        </w:trPr>
        <w:tc>
          <w:tcPr>
            <w:tcW w:w="4684" w:type="dxa"/>
            <w:vMerge/>
            <w:shd w:val="clear" w:color="auto" w:fill="FFFFFF"/>
          </w:tcPr>
          <w:p w14:paraId="3DE9D253"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FFFFFF"/>
          </w:tcPr>
          <w:p w14:paraId="4E369C15" w14:textId="77777777" w:rsidR="001F0054" w:rsidRPr="001F0054" w:rsidRDefault="001F0054" w:rsidP="001F0054">
            <w:pPr>
              <w:rPr>
                <w:color w:val="auto"/>
                <w:sz w:val="20"/>
                <w:szCs w:val="20"/>
              </w:rPr>
            </w:pPr>
            <w:r w:rsidRPr="001F0054">
              <w:rPr>
                <w:color w:val="auto"/>
                <w:sz w:val="20"/>
                <w:szCs w:val="20"/>
              </w:rPr>
              <w:t>HCV Genotype</w:t>
            </w:r>
          </w:p>
        </w:tc>
        <w:tc>
          <w:tcPr>
            <w:tcW w:w="1686" w:type="dxa"/>
            <w:gridSpan w:val="2"/>
            <w:tcBorders>
              <w:top w:val="single" w:sz="4" w:space="0" w:color="auto"/>
              <w:bottom w:val="nil"/>
            </w:tcBorders>
            <w:shd w:val="clear" w:color="auto" w:fill="FFFFFF"/>
          </w:tcPr>
          <w:p w14:paraId="200EBAFB" w14:textId="77777777" w:rsidR="001F0054" w:rsidRPr="001F0054" w:rsidRDefault="001F0054" w:rsidP="001F0054">
            <w:pPr>
              <w:rPr>
                <w:color w:val="auto"/>
                <w:sz w:val="20"/>
                <w:szCs w:val="20"/>
              </w:rPr>
            </w:pPr>
          </w:p>
        </w:tc>
        <w:tc>
          <w:tcPr>
            <w:tcW w:w="1563" w:type="dxa"/>
            <w:tcBorders>
              <w:top w:val="single" w:sz="4" w:space="0" w:color="auto"/>
              <w:bottom w:val="nil"/>
            </w:tcBorders>
            <w:shd w:val="clear" w:color="auto" w:fill="FFFFFF"/>
          </w:tcPr>
          <w:p w14:paraId="7027F17E" w14:textId="77777777" w:rsidR="001F0054" w:rsidRPr="001F0054" w:rsidRDefault="001F0054" w:rsidP="001F0054">
            <w:pPr>
              <w:rPr>
                <w:color w:val="auto"/>
                <w:sz w:val="20"/>
                <w:szCs w:val="20"/>
              </w:rPr>
            </w:pPr>
          </w:p>
        </w:tc>
      </w:tr>
      <w:tr w:rsidR="001F0054" w:rsidRPr="001F0054" w14:paraId="27BDF934" w14:textId="77777777" w:rsidTr="00022B87">
        <w:trPr>
          <w:trHeight w:val="413"/>
        </w:trPr>
        <w:tc>
          <w:tcPr>
            <w:tcW w:w="4684" w:type="dxa"/>
            <w:vMerge/>
            <w:shd w:val="clear" w:color="auto" w:fill="FFFFFF"/>
          </w:tcPr>
          <w:p w14:paraId="0B092EEC" w14:textId="77777777" w:rsidR="001F0054" w:rsidRPr="001F0054" w:rsidRDefault="001F0054" w:rsidP="001F0054">
            <w:pPr>
              <w:rPr>
                <w:color w:val="auto"/>
                <w:sz w:val="20"/>
                <w:szCs w:val="20"/>
              </w:rPr>
            </w:pPr>
          </w:p>
        </w:tc>
        <w:tc>
          <w:tcPr>
            <w:tcW w:w="2327" w:type="dxa"/>
            <w:vMerge w:val="restart"/>
            <w:tcBorders>
              <w:top w:val="single" w:sz="4" w:space="0" w:color="auto"/>
            </w:tcBorders>
            <w:shd w:val="clear" w:color="auto" w:fill="E7E6E6"/>
          </w:tcPr>
          <w:p w14:paraId="7A59B90C" w14:textId="77777777" w:rsidR="001F0054" w:rsidRPr="001F0054" w:rsidRDefault="001F0054" w:rsidP="001F0054">
            <w:pPr>
              <w:rPr>
                <w:b/>
                <w:color w:val="auto"/>
                <w:sz w:val="20"/>
                <w:szCs w:val="20"/>
              </w:rPr>
            </w:pPr>
            <w:r w:rsidRPr="001F0054">
              <w:rPr>
                <w:b/>
                <w:color w:val="auto"/>
                <w:sz w:val="20"/>
                <w:szCs w:val="20"/>
              </w:rPr>
              <w:t>Other pre-treatment results</w:t>
            </w:r>
          </w:p>
        </w:tc>
        <w:tc>
          <w:tcPr>
            <w:tcW w:w="1686" w:type="dxa"/>
            <w:gridSpan w:val="2"/>
            <w:vMerge w:val="restart"/>
            <w:shd w:val="clear" w:color="auto" w:fill="E7E6E6"/>
          </w:tcPr>
          <w:p w14:paraId="5F1CECBB" w14:textId="77777777" w:rsidR="001F0054" w:rsidRPr="001F0054" w:rsidRDefault="001F0054" w:rsidP="001F0054">
            <w:pPr>
              <w:rPr>
                <w:color w:val="auto"/>
                <w:sz w:val="20"/>
                <w:szCs w:val="20"/>
              </w:rPr>
            </w:pPr>
            <w:r w:rsidRPr="001F0054">
              <w:rPr>
                <w:color w:val="auto"/>
                <w:sz w:val="20"/>
                <w:szCs w:val="20"/>
              </w:rPr>
              <w:t>Result</w:t>
            </w:r>
          </w:p>
        </w:tc>
        <w:tc>
          <w:tcPr>
            <w:tcW w:w="1563" w:type="dxa"/>
            <w:vMerge w:val="restart"/>
            <w:shd w:val="clear" w:color="auto" w:fill="E7E6E6"/>
          </w:tcPr>
          <w:p w14:paraId="73B2A702" w14:textId="77777777" w:rsidR="001F0054" w:rsidRPr="001F0054" w:rsidRDefault="001F0054" w:rsidP="001F0054">
            <w:pPr>
              <w:rPr>
                <w:color w:val="auto"/>
                <w:sz w:val="20"/>
                <w:szCs w:val="20"/>
              </w:rPr>
            </w:pPr>
            <w:r w:rsidRPr="001F0054">
              <w:rPr>
                <w:color w:val="auto"/>
                <w:sz w:val="20"/>
                <w:szCs w:val="20"/>
              </w:rPr>
              <w:t>Date of Test</w:t>
            </w:r>
          </w:p>
        </w:tc>
      </w:tr>
      <w:tr w:rsidR="001F0054" w:rsidRPr="001F0054" w14:paraId="4D1271C5" w14:textId="77777777" w:rsidTr="00022B87">
        <w:trPr>
          <w:trHeight w:val="433"/>
        </w:trPr>
        <w:tc>
          <w:tcPr>
            <w:tcW w:w="4684" w:type="dxa"/>
            <w:vMerge w:val="restart"/>
            <w:shd w:val="clear" w:color="auto" w:fill="FFFFFF"/>
          </w:tcPr>
          <w:p w14:paraId="3E0E14EF" w14:textId="77777777" w:rsidR="001F0054" w:rsidRPr="001F0054" w:rsidRDefault="001F0054" w:rsidP="001F0054">
            <w:pPr>
              <w:rPr>
                <w:color w:val="auto"/>
                <w:sz w:val="20"/>
                <w:szCs w:val="20"/>
              </w:rPr>
            </w:pPr>
            <w:r w:rsidRPr="001F0054">
              <w:rPr>
                <w:color w:val="auto"/>
                <w:sz w:val="20"/>
                <w:szCs w:val="20"/>
              </w:rPr>
              <w:t xml:space="preserve">Liver ultrasound Yes □   No </w:t>
            </w:r>
            <w:proofErr w:type="gramStart"/>
            <w:r w:rsidRPr="001F0054">
              <w:rPr>
                <w:color w:val="auto"/>
                <w:sz w:val="20"/>
                <w:szCs w:val="20"/>
              </w:rPr>
              <w:t>□  N</w:t>
            </w:r>
            <w:proofErr w:type="gramEnd"/>
            <w:r w:rsidRPr="001F0054">
              <w:rPr>
                <w:color w:val="auto"/>
                <w:sz w:val="20"/>
                <w:szCs w:val="20"/>
              </w:rPr>
              <w:t>/A □</w:t>
            </w:r>
          </w:p>
          <w:p w14:paraId="3D45F4E2" w14:textId="77777777" w:rsidR="001F0054" w:rsidRPr="001F0054" w:rsidRDefault="001F0054" w:rsidP="001F0054">
            <w:pPr>
              <w:rPr>
                <w:color w:val="auto"/>
                <w:sz w:val="20"/>
                <w:szCs w:val="20"/>
              </w:rPr>
            </w:pPr>
            <w:r w:rsidRPr="001F0054">
              <w:rPr>
                <w:color w:val="auto"/>
                <w:sz w:val="20"/>
                <w:szCs w:val="20"/>
              </w:rPr>
              <w:t xml:space="preserve">If </w:t>
            </w:r>
            <w:proofErr w:type="gramStart"/>
            <w:r w:rsidRPr="001F0054">
              <w:rPr>
                <w:color w:val="auto"/>
                <w:sz w:val="20"/>
                <w:szCs w:val="20"/>
              </w:rPr>
              <w:t>Yes</w:t>
            </w:r>
            <w:proofErr w:type="gramEnd"/>
            <w:r w:rsidRPr="001F0054">
              <w:rPr>
                <w:color w:val="auto"/>
                <w:sz w:val="20"/>
                <w:szCs w:val="20"/>
              </w:rPr>
              <w:t>, result and date:</w:t>
            </w:r>
          </w:p>
          <w:p w14:paraId="3FD056B2" w14:textId="77777777" w:rsidR="001F0054" w:rsidRPr="001F0054" w:rsidRDefault="001F0054" w:rsidP="001F0054">
            <w:pPr>
              <w:rPr>
                <w:color w:val="auto"/>
                <w:sz w:val="20"/>
                <w:szCs w:val="20"/>
              </w:rPr>
            </w:pPr>
            <w:r w:rsidRPr="001F0054">
              <w:rPr>
                <w:color w:val="auto"/>
                <w:sz w:val="20"/>
                <w:szCs w:val="20"/>
              </w:rPr>
              <w:t>___________________________________</w:t>
            </w:r>
          </w:p>
        </w:tc>
        <w:tc>
          <w:tcPr>
            <w:tcW w:w="2327" w:type="dxa"/>
            <w:vMerge/>
            <w:tcBorders>
              <w:top w:val="single" w:sz="4" w:space="0" w:color="auto"/>
            </w:tcBorders>
            <w:shd w:val="clear" w:color="auto" w:fill="E7E6E6"/>
          </w:tcPr>
          <w:p w14:paraId="369AC747" w14:textId="77777777" w:rsidR="001F0054" w:rsidRPr="001F0054" w:rsidRDefault="001F0054" w:rsidP="001F0054">
            <w:pPr>
              <w:rPr>
                <w:color w:val="auto"/>
                <w:sz w:val="20"/>
                <w:szCs w:val="20"/>
              </w:rPr>
            </w:pPr>
          </w:p>
        </w:tc>
        <w:tc>
          <w:tcPr>
            <w:tcW w:w="1686" w:type="dxa"/>
            <w:gridSpan w:val="2"/>
            <w:vMerge/>
            <w:shd w:val="clear" w:color="auto" w:fill="E7E6E6"/>
          </w:tcPr>
          <w:p w14:paraId="6ADBB5BF" w14:textId="77777777" w:rsidR="001F0054" w:rsidRPr="001F0054" w:rsidRDefault="001F0054" w:rsidP="001F0054">
            <w:pPr>
              <w:jc w:val="center"/>
              <w:rPr>
                <w:color w:val="auto"/>
                <w:sz w:val="20"/>
                <w:szCs w:val="20"/>
              </w:rPr>
            </w:pPr>
          </w:p>
        </w:tc>
        <w:tc>
          <w:tcPr>
            <w:tcW w:w="1563" w:type="dxa"/>
            <w:vMerge/>
            <w:shd w:val="clear" w:color="auto" w:fill="E7E6E6"/>
          </w:tcPr>
          <w:p w14:paraId="09D8611E" w14:textId="77777777" w:rsidR="001F0054" w:rsidRPr="001F0054" w:rsidRDefault="001F0054" w:rsidP="001F0054">
            <w:pPr>
              <w:jc w:val="center"/>
              <w:rPr>
                <w:color w:val="auto"/>
                <w:sz w:val="20"/>
                <w:szCs w:val="20"/>
              </w:rPr>
            </w:pPr>
          </w:p>
        </w:tc>
      </w:tr>
      <w:tr w:rsidR="001F0054" w:rsidRPr="001F0054" w14:paraId="613FEDF5" w14:textId="77777777" w:rsidTr="00022B87">
        <w:trPr>
          <w:trHeight w:val="70"/>
        </w:trPr>
        <w:tc>
          <w:tcPr>
            <w:tcW w:w="4684" w:type="dxa"/>
            <w:vMerge/>
            <w:shd w:val="clear" w:color="auto" w:fill="FFFFFF"/>
          </w:tcPr>
          <w:p w14:paraId="57A38368" w14:textId="77777777" w:rsidR="001F0054" w:rsidRPr="001F0054" w:rsidRDefault="001F0054" w:rsidP="001F0054">
            <w:pPr>
              <w:rPr>
                <w:color w:val="auto"/>
                <w:sz w:val="20"/>
                <w:szCs w:val="20"/>
              </w:rPr>
            </w:pPr>
          </w:p>
        </w:tc>
        <w:tc>
          <w:tcPr>
            <w:tcW w:w="2327" w:type="dxa"/>
            <w:shd w:val="clear" w:color="auto" w:fill="FFFFFF"/>
          </w:tcPr>
          <w:p w14:paraId="36F51BC0" w14:textId="77777777" w:rsidR="001F0054" w:rsidRPr="001F0054" w:rsidRDefault="001F0054" w:rsidP="001F0054">
            <w:pPr>
              <w:tabs>
                <w:tab w:val="center" w:pos="1055"/>
              </w:tabs>
              <w:rPr>
                <w:color w:val="auto"/>
                <w:sz w:val="20"/>
                <w:szCs w:val="20"/>
              </w:rPr>
            </w:pPr>
            <w:r w:rsidRPr="001F0054">
              <w:rPr>
                <w:color w:val="auto"/>
                <w:sz w:val="20"/>
                <w:szCs w:val="20"/>
              </w:rPr>
              <w:t>Platelets</w:t>
            </w:r>
          </w:p>
        </w:tc>
        <w:tc>
          <w:tcPr>
            <w:tcW w:w="1686" w:type="dxa"/>
            <w:gridSpan w:val="2"/>
            <w:shd w:val="clear" w:color="auto" w:fill="FFFFFF"/>
          </w:tcPr>
          <w:p w14:paraId="74366EF6" w14:textId="77777777" w:rsidR="001F0054" w:rsidRPr="001F0054" w:rsidRDefault="001F0054" w:rsidP="001F0054">
            <w:pPr>
              <w:jc w:val="center"/>
              <w:rPr>
                <w:color w:val="auto"/>
                <w:sz w:val="20"/>
                <w:szCs w:val="20"/>
              </w:rPr>
            </w:pPr>
          </w:p>
        </w:tc>
        <w:tc>
          <w:tcPr>
            <w:tcW w:w="1563" w:type="dxa"/>
            <w:shd w:val="clear" w:color="auto" w:fill="FFFFFF"/>
          </w:tcPr>
          <w:p w14:paraId="674BC7E1" w14:textId="77777777" w:rsidR="001F0054" w:rsidRPr="001F0054" w:rsidRDefault="001F0054" w:rsidP="001F0054">
            <w:pPr>
              <w:jc w:val="center"/>
              <w:rPr>
                <w:color w:val="auto"/>
                <w:sz w:val="20"/>
                <w:szCs w:val="20"/>
              </w:rPr>
            </w:pPr>
          </w:p>
        </w:tc>
      </w:tr>
      <w:tr w:rsidR="001F0054" w:rsidRPr="001F0054" w14:paraId="5702E634" w14:textId="77777777" w:rsidTr="00022B87">
        <w:trPr>
          <w:trHeight w:val="225"/>
        </w:trPr>
        <w:tc>
          <w:tcPr>
            <w:tcW w:w="4684" w:type="dxa"/>
            <w:vMerge/>
            <w:shd w:val="clear" w:color="auto" w:fill="FFFFFF"/>
          </w:tcPr>
          <w:p w14:paraId="6C98CD6E" w14:textId="77777777" w:rsidR="001F0054" w:rsidRPr="001F0054" w:rsidRDefault="001F0054" w:rsidP="001F0054">
            <w:pPr>
              <w:rPr>
                <w:color w:val="auto"/>
                <w:sz w:val="20"/>
                <w:szCs w:val="20"/>
              </w:rPr>
            </w:pPr>
          </w:p>
        </w:tc>
        <w:tc>
          <w:tcPr>
            <w:tcW w:w="2327" w:type="dxa"/>
            <w:shd w:val="clear" w:color="auto" w:fill="FFFFFF"/>
          </w:tcPr>
          <w:p w14:paraId="3D0DF7B6" w14:textId="77777777" w:rsidR="001F0054" w:rsidRPr="001F0054" w:rsidRDefault="001F0054" w:rsidP="001F0054">
            <w:pPr>
              <w:rPr>
                <w:color w:val="auto"/>
                <w:sz w:val="20"/>
                <w:szCs w:val="20"/>
              </w:rPr>
            </w:pPr>
            <w:r w:rsidRPr="001F0054">
              <w:rPr>
                <w:color w:val="auto"/>
                <w:sz w:val="20"/>
                <w:szCs w:val="20"/>
              </w:rPr>
              <w:t>Hb</w:t>
            </w:r>
          </w:p>
        </w:tc>
        <w:tc>
          <w:tcPr>
            <w:tcW w:w="1686" w:type="dxa"/>
            <w:gridSpan w:val="2"/>
            <w:shd w:val="clear" w:color="auto" w:fill="FFFFFF"/>
          </w:tcPr>
          <w:p w14:paraId="5BE4D99B" w14:textId="77777777" w:rsidR="001F0054" w:rsidRPr="001F0054" w:rsidRDefault="001F0054" w:rsidP="001F0054">
            <w:pPr>
              <w:jc w:val="center"/>
              <w:rPr>
                <w:color w:val="auto"/>
                <w:sz w:val="20"/>
                <w:szCs w:val="20"/>
              </w:rPr>
            </w:pPr>
          </w:p>
        </w:tc>
        <w:tc>
          <w:tcPr>
            <w:tcW w:w="1563" w:type="dxa"/>
            <w:shd w:val="clear" w:color="auto" w:fill="FFFFFF"/>
          </w:tcPr>
          <w:p w14:paraId="757CFD00" w14:textId="77777777" w:rsidR="001F0054" w:rsidRPr="001F0054" w:rsidRDefault="001F0054" w:rsidP="001F0054">
            <w:pPr>
              <w:jc w:val="center"/>
              <w:rPr>
                <w:color w:val="auto"/>
                <w:sz w:val="20"/>
                <w:szCs w:val="20"/>
              </w:rPr>
            </w:pPr>
          </w:p>
        </w:tc>
      </w:tr>
      <w:tr w:rsidR="001F0054" w:rsidRPr="001F0054" w14:paraId="7A4E6D41" w14:textId="77777777" w:rsidTr="00022B87">
        <w:trPr>
          <w:trHeight w:val="225"/>
        </w:trPr>
        <w:tc>
          <w:tcPr>
            <w:tcW w:w="4684" w:type="dxa"/>
            <w:vMerge/>
            <w:shd w:val="clear" w:color="auto" w:fill="FFFFFF"/>
          </w:tcPr>
          <w:p w14:paraId="254646D0" w14:textId="77777777" w:rsidR="001F0054" w:rsidRPr="001F0054" w:rsidRDefault="001F0054" w:rsidP="001F0054">
            <w:pPr>
              <w:rPr>
                <w:color w:val="auto"/>
                <w:sz w:val="20"/>
                <w:szCs w:val="20"/>
              </w:rPr>
            </w:pPr>
          </w:p>
        </w:tc>
        <w:tc>
          <w:tcPr>
            <w:tcW w:w="2327" w:type="dxa"/>
            <w:shd w:val="clear" w:color="auto" w:fill="FFFFFF"/>
          </w:tcPr>
          <w:p w14:paraId="14175EF3" w14:textId="77777777" w:rsidR="001F0054" w:rsidRPr="001F0054" w:rsidRDefault="001F0054" w:rsidP="001F0054">
            <w:pPr>
              <w:rPr>
                <w:color w:val="auto"/>
                <w:sz w:val="20"/>
                <w:szCs w:val="20"/>
              </w:rPr>
            </w:pPr>
            <w:r w:rsidRPr="001F0054">
              <w:rPr>
                <w:color w:val="auto"/>
                <w:sz w:val="20"/>
                <w:szCs w:val="20"/>
              </w:rPr>
              <w:t>ALT</w:t>
            </w:r>
          </w:p>
        </w:tc>
        <w:tc>
          <w:tcPr>
            <w:tcW w:w="1686" w:type="dxa"/>
            <w:gridSpan w:val="2"/>
            <w:shd w:val="clear" w:color="auto" w:fill="FFFFFF"/>
          </w:tcPr>
          <w:p w14:paraId="5FA24B65" w14:textId="77777777" w:rsidR="001F0054" w:rsidRPr="001F0054" w:rsidRDefault="001F0054" w:rsidP="001F0054">
            <w:pPr>
              <w:jc w:val="center"/>
              <w:rPr>
                <w:color w:val="auto"/>
                <w:sz w:val="20"/>
                <w:szCs w:val="20"/>
              </w:rPr>
            </w:pPr>
          </w:p>
        </w:tc>
        <w:tc>
          <w:tcPr>
            <w:tcW w:w="1563" w:type="dxa"/>
            <w:shd w:val="clear" w:color="auto" w:fill="FFFFFF"/>
          </w:tcPr>
          <w:p w14:paraId="70334797" w14:textId="77777777" w:rsidR="001F0054" w:rsidRPr="001F0054" w:rsidRDefault="001F0054" w:rsidP="001F0054">
            <w:pPr>
              <w:jc w:val="center"/>
              <w:rPr>
                <w:color w:val="auto"/>
                <w:sz w:val="20"/>
                <w:szCs w:val="20"/>
              </w:rPr>
            </w:pPr>
          </w:p>
        </w:tc>
      </w:tr>
      <w:tr w:rsidR="001F0054" w:rsidRPr="001F0054" w14:paraId="6DE0061D" w14:textId="77777777" w:rsidTr="00022B87">
        <w:trPr>
          <w:trHeight w:val="285"/>
        </w:trPr>
        <w:tc>
          <w:tcPr>
            <w:tcW w:w="4684" w:type="dxa"/>
            <w:vMerge w:val="restart"/>
            <w:shd w:val="clear" w:color="auto" w:fill="auto"/>
          </w:tcPr>
          <w:p w14:paraId="2DC24B21" w14:textId="77777777" w:rsidR="001F0054" w:rsidRPr="001F0054" w:rsidRDefault="001F0054" w:rsidP="001F0054">
            <w:pPr>
              <w:rPr>
                <w:b/>
                <w:color w:val="auto"/>
                <w:sz w:val="20"/>
                <w:szCs w:val="20"/>
                <w:u w:val="single"/>
              </w:rPr>
            </w:pPr>
            <w:r w:rsidRPr="001F0054">
              <w:rPr>
                <w:b/>
                <w:color w:val="auto"/>
                <w:sz w:val="20"/>
                <w:szCs w:val="20"/>
                <w:u w:val="single"/>
              </w:rPr>
              <w:t>Current Medication including OTC/herbal/illicit drugs:</w:t>
            </w:r>
          </w:p>
          <w:p w14:paraId="11C8F5DA" w14:textId="77777777" w:rsidR="001F0054" w:rsidRPr="001F0054" w:rsidRDefault="001F0054" w:rsidP="001F0054">
            <w:pPr>
              <w:rPr>
                <w:b/>
                <w:color w:val="auto"/>
                <w:sz w:val="20"/>
                <w:szCs w:val="20"/>
                <w:u w:val="single"/>
              </w:rPr>
            </w:pPr>
          </w:p>
          <w:p w14:paraId="658C5CE6" w14:textId="77777777" w:rsidR="001F0054" w:rsidRPr="001F0054" w:rsidRDefault="001F0054" w:rsidP="001F0054">
            <w:pPr>
              <w:rPr>
                <w:color w:val="auto"/>
                <w:sz w:val="20"/>
                <w:szCs w:val="20"/>
              </w:rPr>
            </w:pPr>
          </w:p>
          <w:p w14:paraId="54D4BFF1" w14:textId="77777777" w:rsidR="001F0054" w:rsidRPr="001F0054" w:rsidRDefault="001F0054" w:rsidP="001F0054">
            <w:pPr>
              <w:rPr>
                <w:color w:val="auto"/>
                <w:sz w:val="20"/>
                <w:szCs w:val="20"/>
              </w:rPr>
            </w:pPr>
          </w:p>
          <w:p w14:paraId="00D458F8" w14:textId="77777777" w:rsidR="001F0054" w:rsidRPr="001F0054" w:rsidRDefault="001F0054" w:rsidP="001F0054">
            <w:pPr>
              <w:rPr>
                <w:color w:val="auto"/>
                <w:sz w:val="20"/>
                <w:szCs w:val="20"/>
              </w:rPr>
            </w:pPr>
          </w:p>
          <w:p w14:paraId="6D65E274" w14:textId="77777777" w:rsidR="001F0054" w:rsidRPr="001F0054" w:rsidRDefault="001F0054" w:rsidP="001F0054">
            <w:pPr>
              <w:rPr>
                <w:b/>
                <w:color w:val="auto"/>
                <w:sz w:val="20"/>
                <w:szCs w:val="20"/>
                <w:u w:val="single"/>
              </w:rPr>
            </w:pPr>
          </w:p>
          <w:p w14:paraId="78AD7D77" w14:textId="77777777" w:rsidR="001F0054" w:rsidRPr="001F0054" w:rsidRDefault="001F0054" w:rsidP="001F0054">
            <w:pPr>
              <w:rPr>
                <w:b/>
                <w:color w:val="auto"/>
                <w:sz w:val="20"/>
                <w:szCs w:val="20"/>
                <w:u w:val="single"/>
              </w:rPr>
            </w:pPr>
            <w:r w:rsidRPr="001F0054">
              <w:rPr>
                <w:b/>
                <w:color w:val="auto"/>
                <w:sz w:val="20"/>
                <w:szCs w:val="20"/>
                <w:u w:val="single"/>
              </w:rPr>
              <w:t>Community pharmacy details:</w:t>
            </w:r>
          </w:p>
          <w:p w14:paraId="32B3373E" w14:textId="77777777" w:rsidR="001F0054" w:rsidRPr="001F0054" w:rsidRDefault="001F0054" w:rsidP="001F0054">
            <w:pPr>
              <w:rPr>
                <w:b/>
                <w:color w:val="auto"/>
                <w:sz w:val="20"/>
                <w:szCs w:val="20"/>
                <w:u w:val="single"/>
              </w:rPr>
            </w:pPr>
          </w:p>
          <w:p w14:paraId="205B067D" w14:textId="77777777" w:rsidR="001F0054" w:rsidRPr="001F0054" w:rsidRDefault="001F0054" w:rsidP="001F0054">
            <w:pPr>
              <w:rPr>
                <w:color w:val="auto"/>
                <w:sz w:val="20"/>
                <w:szCs w:val="20"/>
              </w:rPr>
            </w:pPr>
          </w:p>
        </w:tc>
        <w:tc>
          <w:tcPr>
            <w:tcW w:w="2327" w:type="dxa"/>
            <w:tcBorders>
              <w:bottom w:val="single" w:sz="4" w:space="0" w:color="auto"/>
            </w:tcBorders>
            <w:shd w:val="clear" w:color="auto" w:fill="FFFFFF"/>
          </w:tcPr>
          <w:p w14:paraId="5F14AF64" w14:textId="77777777" w:rsidR="001F0054" w:rsidRPr="001F0054" w:rsidRDefault="001F0054" w:rsidP="001F0054">
            <w:pPr>
              <w:rPr>
                <w:color w:val="auto"/>
                <w:sz w:val="20"/>
                <w:szCs w:val="20"/>
              </w:rPr>
            </w:pPr>
            <w:r w:rsidRPr="001F0054">
              <w:rPr>
                <w:color w:val="auto"/>
                <w:sz w:val="20"/>
                <w:szCs w:val="20"/>
              </w:rPr>
              <w:t>AST</w:t>
            </w:r>
          </w:p>
        </w:tc>
        <w:tc>
          <w:tcPr>
            <w:tcW w:w="1686" w:type="dxa"/>
            <w:gridSpan w:val="2"/>
            <w:tcBorders>
              <w:bottom w:val="single" w:sz="4" w:space="0" w:color="auto"/>
            </w:tcBorders>
            <w:shd w:val="clear" w:color="auto" w:fill="FFFFFF"/>
          </w:tcPr>
          <w:p w14:paraId="37998232" w14:textId="77777777" w:rsidR="001F0054" w:rsidRPr="001F0054" w:rsidRDefault="001F0054" w:rsidP="001F0054">
            <w:pPr>
              <w:jc w:val="center"/>
              <w:rPr>
                <w:color w:val="auto"/>
                <w:sz w:val="20"/>
                <w:szCs w:val="20"/>
              </w:rPr>
            </w:pPr>
          </w:p>
        </w:tc>
        <w:tc>
          <w:tcPr>
            <w:tcW w:w="1563" w:type="dxa"/>
            <w:tcBorders>
              <w:bottom w:val="single" w:sz="4" w:space="0" w:color="auto"/>
            </w:tcBorders>
            <w:shd w:val="clear" w:color="auto" w:fill="FFFFFF"/>
          </w:tcPr>
          <w:p w14:paraId="17247D1A" w14:textId="77777777" w:rsidR="001F0054" w:rsidRPr="001F0054" w:rsidRDefault="001F0054" w:rsidP="001F0054">
            <w:pPr>
              <w:jc w:val="center"/>
              <w:rPr>
                <w:color w:val="auto"/>
                <w:sz w:val="20"/>
                <w:szCs w:val="20"/>
              </w:rPr>
            </w:pPr>
          </w:p>
        </w:tc>
      </w:tr>
      <w:tr w:rsidR="001F0054" w:rsidRPr="001F0054" w14:paraId="2E864FA8" w14:textId="77777777" w:rsidTr="00022B87">
        <w:trPr>
          <w:trHeight w:val="270"/>
        </w:trPr>
        <w:tc>
          <w:tcPr>
            <w:tcW w:w="4684" w:type="dxa"/>
            <w:vMerge/>
            <w:shd w:val="clear" w:color="auto" w:fill="auto"/>
          </w:tcPr>
          <w:p w14:paraId="4657852A" w14:textId="77777777" w:rsidR="001F0054" w:rsidRPr="001F0054" w:rsidRDefault="001F0054" w:rsidP="001F0054">
            <w:pPr>
              <w:rPr>
                <w:color w:val="auto"/>
                <w:sz w:val="20"/>
                <w:szCs w:val="20"/>
              </w:rPr>
            </w:pPr>
          </w:p>
        </w:tc>
        <w:tc>
          <w:tcPr>
            <w:tcW w:w="2327" w:type="dxa"/>
            <w:tcBorders>
              <w:bottom w:val="single" w:sz="4" w:space="0" w:color="auto"/>
            </w:tcBorders>
            <w:shd w:val="clear" w:color="auto" w:fill="FFFFFF"/>
          </w:tcPr>
          <w:p w14:paraId="269C7533" w14:textId="77777777" w:rsidR="001F0054" w:rsidRPr="001F0054" w:rsidRDefault="001F0054" w:rsidP="001F0054">
            <w:pPr>
              <w:rPr>
                <w:color w:val="auto"/>
                <w:sz w:val="20"/>
                <w:szCs w:val="20"/>
              </w:rPr>
            </w:pPr>
            <w:r w:rsidRPr="001F0054">
              <w:rPr>
                <w:color w:val="auto"/>
                <w:sz w:val="20"/>
                <w:szCs w:val="20"/>
              </w:rPr>
              <w:t>Bilirubin</w:t>
            </w:r>
          </w:p>
        </w:tc>
        <w:tc>
          <w:tcPr>
            <w:tcW w:w="1686" w:type="dxa"/>
            <w:gridSpan w:val="2"/>
            <w:tcBorders>
              <w:bottom w:val="single" w:sz="4" w:space="0" w:color="auto"/>
            </w:tcBorders>
            <w:shd w:val="clear" w:color="auto" w:fill="FFFFFF"/>
          </w:tcPr>
          <w:p w14:paraId="5B48F04E" w14:textId="77777777" w:rsidR="001F0054" w:rsidRPr="001F0054" w:rsidRDefault="001F0054" w:rsidP="001F0054">
            <w:pPr>
              <w:jc w:val="center"/>
              <w:rPr>
                <w:color w:val="auto"/>
                <w:sz w:val="20"/>
                <w:szCs w:val="20"/>
              </w:rPr>
            </w:pPr>
          </w:p>
        </w:tc>
        <w:tc>
          <w:tcPr>
            <w:tcW w:w="1563" w:type="dxa"/>
            <w:tcBorders>
              <w:bottom w:val="single" w:sz="4" w:space="0" w:color="auto"/>
            </w:tcBorders>
            <w:shd w:val="clear" w:color="auto" w:fill="FFFFFF"/>
          </w:tcPr>
          <w:p w14:paraId="1837C4D1" w14:textId="77777777" w:rsidR="001F0054" w:rsidRPr="001F0054" w:rsidRDefault="001F0054" w:rsidP="001F0054">
            <w:pPr>
              <w:jc w:val="center"/>
              <w:rPr>
                <w:color w:val="auto"/>
                <w:sz w:val="20"/>
                <w:szCs w:val="20"/>
              </w:rPr>
            </w:pPr>
          </w:p>
        </w:tc>
      </w:tr>
      <w:tr w:rsidR="001F0054" w:rsidRPr="001F0054" w14:paraId="07F9305C" w14:textId="77777777" w:rsidTr="00022B87">
        <w:tc>
          <w:tcPr>
            <w:tcW w:w="4684" w:type="dxa"/>
            <w:vMerge/>
            <w:shd w:val="clear" w:color="auto" w:fill="auto"/>
          </w:tcPr>
          <w:p w14:paraId="71AAAFAD"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FFFFFF"/>
          </w:tcPr>
          <w:p w14:paraId="3C228346" w14:textId="77777777" w:rsidR="001F0054" w:rsidRPr="001F0054" w:rsidRDefault="001F0054" w:rsidP="001F0054">
            <w:pPr>
              <w:rPr>
                <w:color w:val="auto"/>
                <w:sz w:val="20"/>
                <w:szCs w:val="20"/>
              </w:rPr>
            </w:pPr>
            <w:r w:rsidRPr="001F0054">
              <w:rPr>
                <w:color w:val="auto"/>
                <w:sz w:val="20"/>
                <w:szCs w:val="20"/>
              </w:rPr>
              <w:t>Albumin</w:t>
            </w:r>
          </w:p>
        </w:tc>
        <w:tc>
          <w:tcPr>
            <w:tcW w:w="1686" w:type="dxa"/>
            <w:gridSpan w:val="2"/>
            <w:tcBorders>
              <w:top w:val="single" w:sz="4" w:space="0" w:color="auto"/>
              <w:bottom w:val="single" w:sz="4" w:space="0" w:color="auto"/>
            </w:tcBorders>
            <w:shd w:val="clear" w:color="auto" w:fill="FFFFFF"/>
          </w:tcPr>
          <w:p w14:paraId="1312DEFD" w14:textId="77777777" w:rsidR="001F0054" w:rsidRPr="001F0054" w:rsidRDefault="001F0054" w:rsidP="001F0054">
            <w:pPr>
              <w:jc w:val="center"/>
              <w:rPr>
                <w:color w:val="auto"/>
                <w:sz w:val="20"/>
                <w:szCs w:val="20"/>
              </w:rPr>
            </w:pPr>
          </w:p>
        </w:tc>
        <w:tc>
          <w:tcPr>
            <w:tcW w:w="1563" w:type="dxa"/>
            <w:tcBorders>
              <w:top w:val="single" w:sz="4" w:space="0" w:color="auto"/>
              <w:bottom w:val="single" w:sz="4" w:space="0" w:color="auto"/>
            </w:tcBorders>
            <w:shd w:val="clear" w:color="auto" w:fill="FFFFFF"/>
          </w:tcPr>
          <w:p w14:paraId="5601391F" w14:textId="77777777" w:rsidR="001F0054" w:rsidRPr="001F0054" w:rsidRDefault="001F0054" w:rsidP="001F0054">
            <w:pPr>
              <w:jc w:val="center"/>
              <w:rPr>
                <w:color w:val="auto"/>
                <w:sz w:val="20"/>
                <w:szCs w:val="20"/>
              </w:rPr>
            </w:pPr>
          </w:p>
        </w:tc>
      </w:tr>
      <w:tr w:rsidR="001F0054" w:rsidRPr="001F0054" w14:paraId="0F508184" w14:textId="77777777" w:rsidTr="00022B87">
        <w:trPr>
          <w:trHeight w:val="70"/>
        </w:trPr>
        <w:tc>
          <w:tcPr>
            <w:tcW w:w="4684" w:type="dxa"/>
            <w:vMerge/>
            <w:shd w:val="clear" w:color="auto" w:fill="FFFFFF"/>
          </w:tcPr>
          <w:p w14:paraId="7DC0E194"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auto"/>
          </w:tcPr>
          <w:p w14:paraId="6B9AF8C1" w14:textId="77777777" w:rsidR="001F0054" w:rsidRPr="001F0054" w:rsidRDefault="001F0054" w:rsidP="001F0054">
            <w:pPr>
              <w:rPr>
                <w:color w:val="auto"/>
                <w:sz w:val="20"/>
                <w:szCs w:val="20"/>
              </w:rPr>
            </w:pPr>
            <w:proofErr w:type="spellStart"/>
            <w:r w:rsidRPr="001F0054">
              <w:rPr>
                <w:color w:val="auto"/>
                <w:sz w:val="20"/>
                <w:szCs w:val="20"/>
              </w:rPr>
              <w:t>Alk</w:t>
            </w:r>
            <w:proofErr w:type="spellEnd"/>
            <w:r w:rsidRPr="001F0054">
              <w:rPr>
                <w:color w:val="auto"/>
                <w:sz w:val="20"/>
                <w:szCs w:val="20"/>
              </w:rPr>
              <w:t xml:space="preserve"> </w:t>
            </w:r>
            <w:proofErr w:type="spellStart"/>
            <w:r w:rsidRPr="001F0054">
              <w:rPr>
                <w:color w:val="auto"/>
                <w:sz w:val="20"/>
                <w:szCs w:val="20"/>
              </w:rPr>
              <w:t>Phos</w:t>
            </w:r>
            <w:proofErr w:type="spellEnd"/>
          </w:p>
        </w:tc>
        <w:tc>
          <w:tcPr>
            <w:tcW w:w="1686" w:type="dxa"/>
            <w:gridSpan w:val="2"/>
            <w:tcBorders>
              <w:top w:val="single" w:sz="4" w:space="0" w:color="auto"/>
              <w:bottom w:val="single" w:sz="4" w:space="0" w:color="auto"/>
            </w:tcBorders>
            <w:shd w:val="clear" w:color="auto" w:fill="auto"/>
          </w:tcPr>
          <w:p w14:paraId="3345E60C" w14:textId="77777777" w:rsidR="001F0054" w:rsidRPr="001F0054" w:rsidRDefault="001F0054" w:rsidP="001F0054">
            <w:pPr>
              <w:jc w:val="center"/>
              <w:rPr>
                <w:color w:val="auto"/>
                <w:sz w:val="20"/>
                <w:szCs w:val="20"/>
              </w:rPr>
            </w:pPr>
          </w:p>
        </w:tc>
        <w:tc>
          <w:tcPr>
            <w:tcW w:w="1563" w:type="dxa"/>
            <w:tcBorders>
              <w:top w:val="single" w:sz="4" w:space="0" w:color="auto"/>
              <w:bottom w:val="single" w:sz="4" w:space="0" w:color="auto"/>
            </w:tcBorders>
            <w:shd w:val="clear" w:color="auto" w:fill="auto"/>
          </w:tcPr>
          <w:p w14:paraId="1B971D6C" w14:textId="77777777" w:rsidR="001F0054" w:rsidRPr="001F0054" w:rsidRDefault="001F0054" w:rsidP="001F0054">
            <w:pPr>
              <w:jc w:val="center"/>
              <w:rPr>
                <w:color w:val="auto"/>
                <w:sz w:val="20"/>
                <w:szCs w:val="20"/>
              </w:rPr>
            </w:pPr>
          </w:p>
        </w:tc>
      </w:tr>
      <w:tr w:rsidR="001F0054" w:rsidRPr="001F0054" w14:paraId="51DB70A4" w14:textId="77777777" w:rsidTr="00022B87">
        <w:tc>
          <w:tcPr>
            <w:tcW w:w="4684" w:type="dxa"/>
            <w:vMerge/>
            <w:shd w:val="clear" w:color="auto" w:fill="FFFFFF"/>
          </w:tcPr>
          <w:p w14:paraId="1E857128"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auto"/>
          </w:tcPr>
          <w:p w14:paraId="0052DAF6" w14:textId="77777777" w:rsidR="001F0054" w:rsidRPr="001F0054" w:rsidRDefault="001F0054" w:rsidP="001F0054">
            <w:pPr>
              <w:rPr>
                <w:color w:val="auto"/>
                <w:sz w:val="20"/>
                <w:szCs w:val="20"/>
              </w:rPr>
            </w:pPr>
            <w:r w:rsidRPr="001F0054">
              <w:rPr>
                <w:color w:val="auto"/>
                <w:sz w:val="20"/>
                <w:szCs w:val="20"/>
              </w:rPr>
              <w:t>AFP</w:t>
            </w:r>
          </w:p>
        </w:tc>
        <w:tc>
          <w:tcPr>
            <w:tcW w:w="1686" w:type="dxa"/>
            <w:gridSpan w:val="2"/>
            <w:tcBorders>
              <w:top w:val="single" w:sz="4" w:space="0" w:color="auto"/>
              <w:bottom w:val="single" w:sz="4" w:space="0" w:color="auto"/>
            </w:tcBorders>
            <w:shd w:val="clear" w:color="auto" w:fill="auto"/>
          </w:tcPr>
          <w:p w14:paraId="05A6B12A" w14:textId="77777777" w:rsidR="001F0054" w:rsidRPr="001F0054" w:rsidRDefault="001F0054" w:rsidP="001F0054">
            <w:pPr>
              <w:jc w:val="center"/>
              <w:rPr>
                <w:color w:val="auto"/>
                <w:sz w:val="20"/>
                <w:szCs w:val="20"/>
              </w:rPr>
            </w:pPr>
          </w:p>
        </w:tc>
        <w:tc>
          <w:tcPr>
            <w:tcW w:w="1563" w:type="dxa"/>
            <w:tcBorders>
              <w:top w:val="single" w:sz="4" w:space="0" w:color="auto"/>
              <w:bottom w:val="single" w:sz="4" w:space="0" w:color="auto"/>
            </w:tcBorders>
            <w:shd w:val="clear" w:color="auto" w:fill="auto"/>
          </w:tcPr>
          <w:p w14:paraId="66E748A9" w14:textId="77777777" w:rsidR="001F0054" w:rsidRPr="001F0054" w:rsidRDefault="001F0054" w:rsidP="001F0054">
            <w:pPr>
              <w:jc w:val="center"/>
              <w:rPr>
                <w:color w:val="auto"/>
                <w:sz w:val="20"/>
                <w:szCs w:val="20"/>
              </w:rPr>
            </w:pPr>
          </w:p>
        </w:tc>
      </w:tr>
      <w:tr w:rsidR="001F0054" w:rsidRPr="001F0054" w14:paraId="3A50C6FD" w14:textId="77777777" w:rsidTr="00022B87">
        <w:tc>
          <w:tcPr>
            <w:tcW w:w="4684" w:type="dxa"/>
            <w:vMerge/>
            <w:shd w:val="clear" w:color="auto" w:fill="FFFFFF"/>
          </w:tcPr>
          <w:p w14:paraId="6A7D3731"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auto"/>
          </w:tcPr>
          <w:p w14:paraId="60BB370E" w14:textId="77777777" w:rsidR="001F0054" w:rsidRPr="001F0054" w:rsidRDefault="001F0054" w:rsidP="001F0054">
            <w:pPr>
              <w:rPr>
                <w:color w:val="auto"/>
                <w:sz w:val="20"/>
                <w:szCs w:val="20"/>
              </w:rPr>
            </w:pPr>
            <w:r w:rsidRPr="001F0054">
              <w:rPr>
                <w:color w:val="auto"/>
                <w:sz w:val="20"/>
                <w:szCs w:val="20"/>
              </w:rPr>
              <w:t>eGFR</w:t>
            </w:r>
          </w:p>
        </w:tc>
        <w:tc>
          <w:tcPr>
            <w:tcW w:w="1686" w:type="dxa"/>
            <w:gridSpan w:val="2"/>
            <w:tcBorders>
              <w:top w:val="single" w:sz="4" w:space="0" w:color="auto"/>
              <w:bottom w:val="single" w:sz="4" w:space="0" w:color="auto"/>
            </w:tcBorders>
            <w:shd w:val="clear" w:color="auto" w:fill="auto"/>
          </w:tcPr>
          <w:p w14:paraId="093BEF47" w14:textId="77777777" w:rsidR="001F0054" w:rsidRPr="001F0054" w:rsidRDefault="001F0054" w:rsidP="001F0054">
            <w:pPr>
              <w:jc w:val="center"/>
              <w:rPr>
                <w:color w:val="auto"/>
                <w:sz w:val="20"/>
                <w:szCs w:val="20"/>
              </w:rPr>
            </w:pPr>
          </w:p>
        </w:tc>
        <w:tc>
          <w:tcPr>
            <w:tcW w:w="1563" w:type="dxa"/>
            <w:tcBorders>
              <w:top w:val="single" w:sz="4" w:space="0" w:color="auto"/>
              <w:bottom w:val="single" w:sz="4" w:space="0" w:color="auto"/>
            </w:tcBorders>
            <w:shd w:val="clear" w:color="auto" w:fill="auto"/>
          </w:tcPr>
          <w:p w14:paraId="5B572C71" w14:textId="77777777" w:rsidR="001F0054" w:rsidRPr="001F0054" w:rsidRDefault="001F0054" w:rsidP="001F0054">
            <w:pPr>
              <w:jc w:val="center"/>
              <w:rPr>
                <w:color w:val="auto"/>
                <w:sz w:val="20"/>
                <w:szCs w:val="20"/>
              </w:rPr>
            </w:pPr>
          </w:p>
        </w:tc>
      </w:tr>
      <w:tr w:rsidR="001F0054" w:rsidRPr="001F0054" w14:paraId="6E6886D5" w14:textId="77777777" w:rsidTr="00022B87">
        <w:tc>
          <w:tcPr>
            <w:tcW w:w="4684" w:type="dxa"/>
            <w:vMerge/>
            <w:shd w:val="clear" w:color="auto" w:fill="FFFFFF"/>
          </w:tcPr>
          <w:p w14:paraId="47EEACE1"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auto"/>
          </w:tcPr>
          <w:p w14:paraId="2A6B0CD4" w14:textId="77777777" w:rsidR="001F0054" w:rsidRPr="001F0054" w:rsidRDefault="001F0054" w:rsidP="001F0054">
            <w:pPr>
              <w:rPr>
                <w:color w:val="auto"/>
                <w:sz w:val="20"/>
                <w:szCs w:val="20"/>
              </w:rPr>
            </w:pPr>
            <w:proofErr w:type="spellStart"/>
            <w:r w:rsidRPr="001F0054">
              <w:rPr>
                <w:color w:val="auto"/>
                <w:sz w:val="20"/>
                <w:szCs w:val="20"/>
              </w:rPr>
              <w:t>Coag</w:t>
            </w:r>
            <w:proofErr w:type="spellEnd"/>
            <w:r w:rsidRPr="001F0054">
              <w:rPr>
                <w:color w:val="auto"/>
                <w:sz w:val="20"/>
                <w:szCs w:val="20"/>
              </w:rPr>
              <w:t xml:space="preserve"> </w:t>
            </w:r>
          </w:p>
        </w:tc>
        <w:tc>
          <w:tcPr>
            <w:tcW w:w="1686" w:type="dxa"/>
            <w:gridSpan w:val="2"/>
            <w:tcBorders>
              <w:top w:val="single" w:sz="4" w:space="0" w:color="auto"/>
              <w:bottom w:val="single" w:sz="4" w:space="0" w:color="auto"/>
            </w:tcBorders>
            <w:shd w:val="clear" w:color="auto" w:fill="auto"/>
          </w:tcPr>
          <w:p w14:paraId="67D7F9BB" w14:textId="77777777" w:rsidR="001F0054" w:rsidRPr="001F0054" w:rsidRDefault="001F0054" w:rsidP="001F0054">
            <w:pPr>
              <w:rPr>
                <w:color w:val="auto"/>
                <w:sz w:val="20"/>
                <w:szCs w:val="20"/>
              </w:rPr>
            </w:pPr>
            <w:r w:rsidRPr="001F0054">
              <w:rPr>
                <w:color w:val="auto"/>
                <w:sz w:val="20"/>
                <w:szCs w:val="20"/>
              </w:rPr>
              <w:t xml:space="preserve">Normal □ </w:t>
            </w:r>
          </w:p>
          <w:p w14:paraId="6394572B" w14:textId="77777777" w:rsidR="001F0054" w:rsidRPr="001F0054" w:rsidRDefault="001F0054" w:rsidP="001F0054">
            <w:pPr>
              <w:rPr>
                <w:color w:val="auto"/>
                <w:sz w:val="20"/>
                <w:szCs w:val="20"/>
              </w:rPr>
            </w:pPr>
            <w:proofErr w:type="spellStart"/>
            <w:r w:rsidRPr="001F0054">
              <w:rPr>
                <w:color w:val="auto"/>
                <w:sz w:val="20"/>
                <w:szCs w:val="20"/>
              </w:rPr>
              <w:t>Abn</w:t>
            </w:r>
            <w:proofErr w:type="spellEnd"/>
            <w:r w:rsidRPr="001F0054">
              <w:rPr>
                <w:color w:val="auto"/>
                <w:sz w:val="20"/>
                <w:szCs w:val="20"/>
              </w:rPr>
              <w:t xml:space="preserve"> □</w:t>
            </w:r>
          </w:p>
        </w:tc>
        <w:tc>
          <w:tcPr>
            <w:tcW w:w="1563" w:type="dxa"/>
            <w:tcBorders>
              <w:top w:val="single" w:sz="4" w:space="0" w:color="auto"/>
              <w:bottom w:val="single" w:sz="4" w:space="0" w:color="auto"/>
            </w:tcBorders>
            <w:shd w:val="clear" w:color="auto" w:fill="auto"/>
          </w:tcPr>
          <w:p w14:paraId="4CE0FD76" w14:textId="77777777" w:rsidR="001F0054" w:rsidRPr="001F0054" w:rsidRDefault="001F0054" w:rsidP="001F0054">
            <w:pPr>
              <w:jc w:val="center"/>
              <w:rPr>
                <w:color w:val="auto"/>
                <w:sz w:val="20"/>
                <w:szCs w:val="20"/>
              </w:rPr>
            </w:pPr>
          </w:p>
        </w:tc>
      </w:tr>
      <w:tr w:rsidR="001F0054" w:rsidRPr="001F0054" w14:paraId="463F9901" w14:textId="77777777" w:rsidTr="00022B87">
        <w:tc>
          <w:tcPr>
            <w:tcW w:w="4684" w:type="dxa"/>
            <w:vMerge/>
            <w:shd w:val="clear" w:color="auto" w:fill="FFFFFF"/>
          </w:tcPr>
          <w:p w14:paraId="3B0999F5" w14:textId="77777777" w:rsidR="001F0054" w:rsidRPr="001F0054" w:rsidRDefault="001F0054" w:rsidP="001F0054">
            <w:pPr>
              <w:rPr>
                <w:color w:val="auto"/>
                <w:sz w:val="20"/>
                <w:szCs w:val="20"/>
              </w:rPr>
            </w:pPr>
          </w:p>
        </w:tc>
        <w:tc>
          <w:tcPr>
            <w:tcW w:w="2327" w:type="dxa"/>
            <w:tcBorders>
              <w:top w:val="single" w:sz="4" w:space="0" w:color="auto"/>
              <w:bottom w:val="single" w:sz="4" w:space="0" w:color="auto"/>
            </w:tcBorders>
            <w:shd w:val="clear" w:color="auto" w:fill="auto"/>
          </w:tcPr>
          <w:p w14:paraId="7A641A27" w14:textId="77777777" w:rsidR="001F0054" w:rsidRPr="001F0054" w:rsidRDefault="001F0054" w:rsidP="001F0054">
            <w:pPr>
              <w:rPr>
                <w:color w:val="auto"/>
                <w:sz w:val="20"/>
                <w:szCs w:val="20"/>
              </w:rPr>
            </w:pPr>
            <w:r w:rsidRPr="001F0054">
              <w:rPr>
                <w:color w:val="auto"/>
                <w:sz w:val="20"/>
                <w:szCs w:val="20"/>
              </w:rPr>
              <w:t>Weight</w:t>
            </w:r>
          </w:p>
        </w:tc>
        <w:tc>
          <w:tcPr>
            <w:tcW w:w="1686" w:type="dxa"/>
            <w:gridSpan w:val="2"/>
            <w:tcBorders>
              <w:top w:val="single" w:sz="4" w:space="0" w:color="auto"/>
              <w:bottom w:val="single" w:sz="4" w:space="0" w:color="auto"/>
            </w:tcBorders>
            <w:shd w:val="clear" w:color="auto" w:fill="auto"/>
          </w:tcPr>
          <w:p w14:paraId="6D4C3550" w14:textId="77777777" w:rsidR="001F0054" w:rsidRPr="001F0054" w:rsidRDefault="001F0054" w:rsidP="001F0054">
            <w:pPr>
              <w:jc w:val="center"/>
              <w:rPr>
                <w:color w:val="auto"/>
                <w:sz w:val="20"/>
                <w:szCs w:val="20"/>
              </w:rPr>
            </w:pPr>
          </w:p>
        </w:tc>
        <w:tc>
          <w:tcPr>
            <w:tcW w:w="1563" w:type="dxa"/>
            <w:tcBorders>
              <w:top w:val="single" w:sz="4" w:space="0" w:color="auto"/>
              <w:bottom w:val="single" w:sz="4" w:space="0" w:color="auto"/>
            </w:tcBorders>
            <w:shd w:val="clear" w:color="auto" w:fill="auto"/>
          </w:tcPr>
          <w:p w14:paraId="1FA634AD" w14:textId="77777777" w:rsidR="001F0054" w:rsidRPr="001F0054" w:rsidRDefault="001F0054" w:rsidP="001F0054">
            <w:pPr>
              <w:jc w:val="center"/>
              <w:rPr>
                <w:color w:val="auto"/>
                <w:sz w:val="20"/>
                <w:szCs w:val="20"/>
              </w:rPr>
            </w:pPr>
          </w:p>
        </w:tc>
      </w:tr>
      <w:tr w:rsidR="001F0054" w:rsidRPr="001F0054" w14:paraId="186213FE" w14:textId="77777777" w:rsidTr="00022B87">
        <w:trPr>
          <w:trHeight w:val="1107"/>
        </w:trPr>
        <w:tc>
          <w:tcPr>
            <w:tcW w:w="4684" w:type="dxa"/>
            <w:shd w:val="clear" w:color="auto" w:fill="FFFFFF"/>
          </w:tcPr>
          <w:p w14:paraId="10DD9222" w14:textId="77777777" w:rsidR="001F0054" w:rsidRPr="001F0054" w:rsidRDefault="001F0054" w:rsidP="001F0054">
            <w:pPr>
              <w:rPr>
                <w:color w:val="auto"/>
                <w:sz w:val="20"/>
                <w:szCs w:val="20"/>
                <w:u w:val="single"/>
              </w:rPr>
            </w:pPr>
            <w:r w:rsidRPr="001F0054">
              <w:rPr>
                <w:color w:val="auto"/>
                <w:sz w:val="20"/>
                <w:szCs w:val="20"/>
                <w:u w:val="single"/>
              </w:rPr>
              <w:t>Co-morbidities:</w:t>
            </w:r>
          </w:p>
          <w:p w14:paraId="1F3BE2DE" w14:textId="77777777" w:rsidR="001F0054" w:rsidRPr="001F0054" w:rsidRDefault="001F0054" w:rsidP="001F0054">
            <w:pPr>
              <w:rPr>
                <w:color w:val="auto"/>
                <w:sz w:val="20"/>
                <w:szCs w:val="20"/>
                <w:u w:val="single"/>
              </w:rPr>
            </w:pPr>
          </w:p>
        </w:tc>
        <w:tc>
          <w:tcPr>
            <w:tcW w:w="5576" w:type="dxa"/>
            <w:gridSpan w:val="4"/>
            <w:tcBorders>
              <w:top w:val="single" w:sz="4" w:space="0" w:color="auto"/>
            </w:tcBorders>
            <w:shd w:val="clear" w:color="auto" w:fill="auto"/>
          </w:tcPr>
          <w:p w14:paraId="577B212F" w14:textId="77777777" w:rsidR="001F0054" w:rsidRPr="001F0054" w:rsidRDefault="001F0054" w:rsidP="001F0054">
            <w:pPr>
              <w:rPr>
                <w:color w:val="auto"/>
                <w:sz w:val="20"/>
                <w:szCs w:val="20"/>
                <w:u w:val="single"/>
              </w:rPr>
            </w:pPr>
            <w:r w:rsidRPr="001F0054">
              <w:rPr>
                <w:color w:val="auto"/>
                <w:sz w:val="20"/>
                <w:szCs w:val="20"/>
                <w:u w:val="single"/>
              </w:rPr>
              <w:t>Social situation:</w:t>
            </w:r>
          </w:p>
          <w:p w14:paraId="29B4ED4E" w14:textId="77777777" w:rsidR="001F0054" w:rsidRPr="001F0054" w:rsidRDefault="001F0054" w:rsidP="001F0054">
            <w:pPr>
              <w:rPr>
                <w:color w:val="auto"/>
                <w:sz w:val="20"/>
                <w:szCs w:val="20"/>
                <w:u w:val="single"/>
              </w:rPr>
            </w:pPr>
          </w:p>
          <w:p w14:paraId="1D008C06" w14:textId="77777777" w:rsidR="001F0054" w:rsidRPr="001F0054" w:rsidRDefault="001F0054" w:rsidP="001F0054">
            <w:pPr>
              <w:rPr>
                <w:color w:val="auto"/>
                <w:sz w:val="20"/>
                <w:szCs w:val="20"/>
                <w:u w:val="single"/>
              </w:rPr>
            </w:pPr>
          </w:p>
          <w:p w14:paraId="39088EFB" w14:textId="77777777" w:rsidR="001F0054" w:rsidRPr="001F0054" w:rsidRDefault="001F0054" w:rsidP="001F0054">
            <w:pPr>
              <w:rPr>
                <w:color w:val="auto"/>
                <w:sz w:val="20"/>
                <w:szCs w:val="20"/>
                <w:u w:val="single"/>
              </w:rPr>
            </w:pPr>
            <w:r w:rsidRPr="001F0054">
              <w:rPr>
                <w:color w:val="auto"/>
                <w:sz w:val="20"/>
                <w:szCs w:val="20"/>
                <w:u w:val="single"/>
              </w:rPr>
              <w:t>Alcohol/drug use:</w:t>
            </w:r>
            <w:r w:rsidRPr="001F0054">
              <w:rPr>
                <w:color w:val="auto"/>
                <w:sz w:val="20"/>
                <w:szCs w:val="20"/>
              </w:rPr>
              <w:t xml:space="preserve">  Yes □   No □   NA □</w:t>
            </w:r>
          </w:p>
        </w:tc>
      </w:tr>
      <w:tr w:rsidR="001F0054" w:rsidRPr="001F0054" w14:paraId="20EF4F94" w14:textId="77777777" w:rsidTr="00022B87">
        <w:tc>
          <w:tcPr>
            <w:tcW w:w="4684" w:type="dxa"/>
            <w:tcBorders>
              <w:bottom w:val="single" w:sz="4" w:space="0" w:color="auto"/>
            </w:tcBorders>
            <w:shd w:val="clear" w:color="auto" w:fill="E6E6E6"/>
          </w:tcPr>
          <w:p w14:paraId="05A5C4D4" w14:textId="77777777" w:rsidR="001F0054" w:rsidRPr="001F0054" w:rsidRDefault="001F0054" w:rsidP="001F0054">
            <w:pPr>
              <w:rPr>
                <w:b/>
                <w:color w:val="auto"/>
                <w:sz w:val="20"/>
                <w:szCs w:val="20"/>
              </w:rPr>
            </w:pPr>
            <w:r w:rsidRPr="001F0054">
              <w:rPr>
                <w:b/>
                <w:color w:val="auto"/>
                <w:sz w:val="20"/>
                <w:szCs w:val="20"/>
              </w:rPr>
              <w:t>Contraception:</w:t>
            </w:r>
          </w:p>
        </w:tc>
        <w:tc>
          <w:tcPr>
            <w:tcW w:w="5576" w:type="dxa"/>
            <w:gridSpan w:val="4"/>
            <w:tcBorders>
              <w:top w:val="single" w:sz="4" w:space="0" w:color="auto"/>
            </w:tcBorders>
            <w:shd w:val="clear" w:color="auto" w:fill="D9D9D9"/>
          </w:tcPr>
          <w:p w14:paraId="437CAC6B" w14:textId="77777777" w:rsidR="001F0054" w:rsidRPr="001F0054" w:rsidRDefault="001F0054" w:rsidP="001F0054">
            <w:pPr>
              <w:rPr>
                <w:b/>
                <w:color w:val="auto"/>
                <w:sz w:val="20"/>
                <w:szCs w:val="20"/>
              </w:rPr>
            </w:pPr>
            <w:r w:rsidRPr="001F0054">
              <w:rPr>
                <w:b/>
                <w:color w:val="auto"/>
                <w:sz w:val="20"/>
                <w:szCs w:val="20"/>
              </w:rPr>
              <w:t>Pre-treatment assessment:</w:t>
            </w:r>
          </w:p>
        </w:tc>
      </w:tr>
      <w:tr w:rsidR="001F0054" w:rsidRPr="001F0054" w14:paraId="5DC3E200" w14:textId="77777777" w:rsidTr="00022B87">
        <w:trPr>
          <w:trHeight w:val="285"/>
        </w:trPr>
        <w:tc>
          <w:tcPr>
            <w:tcW w:w="4684" w:type="dxa"/>
            <w:shd w:val="clear" w:color="auto" w:fill="auto"/>
          </w:tcPr>
          <w:p w14:paraId="17CC97EA" w14:textId="77777777" w:rsidR="001F0054" w:rsidRPr="001F0054" w:rsidRDefault="001F0054" w:rsidP="001F0054">
            <w:pPr>
              <w:rPr>
                <w:color w:val="auto"/>
                <w:sz w:val="20"/>
                <w:szCs w:val="20"/>
              </w:rPr>
            </w:pPr>
            <w:r w:rsidRPr="001F0054">
              <w:rPr>
                <w:color w:val="auto"/>
                <w:sz w:val="20"/>
                <w:szCs w:val="20"/>
              </w:rPr>
              <w:t xml:space="preserve">Sexually active         Yes □   No </w:t>
            </w:r>
            <w:proofErr w:type="gramStart"/>
            <w:r w:rsidRPr="001F0054">
              <w:rPr>
                <w:color w:val="auto"/>
                <w:sz w:val="20"/>
                <w:szCs w:val="20"/>
              </w:rPr>
              <w:t>□  NA</w:t>
            </w:r>
            <w:proofErr w:type="gramEnd"/>
            <w:r w:rsidRPr="001F0054">
              <w:rPr>
                <w:color w:val="auto"/>
                <w:sz w:val="20"/>
                <w:szCs w:val="20"/>
              </w:rPr>
              <w:t xml:space="preserve"> □</w:t>
            </w:r>
          </w:p>
        </w:tc>
        <w:tc>
          <w:tcPr>
            <w:tcW w:w="5576" w:type="dxa"/>
            <w:gridSpan w:val="4"/>
            <w:vMerge w:val="restart"/>
            <w:shd w:val="clear" w:color="auto" w:fill="FFFFFF"/>
          </w:tcPr>
          <w:p w14:paraId="1EECB9DC" w14:textId="77777777" w:rsidR="001F0054" w:rsidRPr="001F0054" w:rsidRDefault="001F0054" w:rsidP="001F0054">
            <w:pPr>
              <w:rPr>
                <w:color w:val="auto"/>
                <w:sz w:val="20"/>
                <w:szCs w:val="20"/>
              </w:rPr>
            </w:pPr>
            <w:r w:rsidRPr="001F0054">
              <w:rPr>
                <w:color w:val="auto"/>
                <w:sz w:val="20"/>
                <w:szCs w:val="20"/>
              </w:rPr>
              <w:t xml:space="preserve">Able to swallow tablets? Yes □   No □  </w:t>
            </w:r>
          </w:p>
          <w:p w14:paraId="7AA2FC31" w14:textId="77777777" w:rsidR="001F0054" w:rsidRPr="001F0054" w:rsidRDefault="001F0054" w:rsidP="001F0054">
            <w:pPr>
              <w:rPr>
                <w:color w:val="auto"/>
                <w:sz w:val="20"/>
                <w:szCs w:val="20"/>
              </w:rPr>
            </w:pPr>
            <w:r w:rsidRPr="001F0054">
              <w:rPr>
                <w:color w:val="auto"/>
                <w:sz w:val="20"/>
                <w:szCs w:val="20"/>
              </w:rPr>
              <w:t>If no, arrange swallow assessment.</w:t>
            </w:r>
          </w:p>
          <w:p w14:paraId="59B1EABF" w14:textId="77777777" w:rsidR="001F0054" w:rsidRPr="001F0054" w:rsidRDefault="001F0054" w:rsidP="001F0054">
            <w:pPr>
              <w:rPr>
                <w:color w:val="auto"/>
                <w:sz w:val="20"/>
                <w:szCs w:val="20"/>
              </w:rPr>
            </w:pPr>
          </w:p>
          <w:p w14:paraId="19878079" w14:textId="77777777" w:rsidR="001F0054" w:rsidRPr="001F0054" w:rsidRDefault="001F0054" w:rsidP="001F0054">
            <w:pPr>
              <w:rPr>
                <w:color w:val="auto"/>
                <w:sz w:val="20"/>
                <w:szCs w:val="20"/>
              </w:rPr>
            </w:pPr>
            <w:r w:rsidRPr="001F0054">
              <w:rPr>
                <w:color w:val="auto"/>
                <w:sz w:val="20"/>
                <w:szCs w:val="20"/>
              </w:rPr>
              <w:t xml:space="preserve">Responsible adult to supervise treatment? Yes </w:t>
            </w:r>
            <w:proofErr w:type="gramStart"/>
            <w:r w:rsidRPr="001F0054">
              <w:rPr>
                <w:color w:val="auto"/>
                <w:sz w:val="20"/>
                <w:szCs w:val="20"/>
              </w:rPr>
              <w:t>□  No</w:t>
            </w:r>
            <w:proofErr w:type="gramEnd"/>
            <w:r w:rsidRPr="001F0054">
              <w:rPr>
                <w:color w:val="auto"/>
                <w:sz w:val="20"/>
                <w:szCs w:val="20"/>
              </w:rPr>
              <w:t xml:space="preserve"> □</w:t>
            </w:r>
          </w:p>
          <w:p w14:paraId="7E5868B0" w14:textId="77777777" w:rsidR="001F0054" w:rsidRPr="001F0054" w:rsidRDefault="001F0054" w:rsidP="001F0054">
            <w:pPr>
              <w:rPr>
                <w:color w:val="auto"/>
                <w:sz w:val="20"/>
                <w:szCs w:val="20"/>
              </w:rPr>
            </w:pPr>
          </w:p>
          <w:p w14:paraId="20B513C3" w14:textId="77777777" w:rsidR="001F0054" w:rsidRPr="001F0054" w:rsidRDefault="001F0054" w:rsidP="001F0054">
            <w:pPr>
              <w:rPr>
                <w:color w:val="auto"/>
                <w:sz w:val="20"/>
                <w:szCs w:val="20"/>
              </w:rPr>
            </w:pPr>
            <w:r w:rsidRPr="001F0054">
              <w:rPr>
                <w:color w:val="auto"/>
                <w:sz w:val="20"/>
                <w:szCs w:val="20"/>
              </w:rPr>
              <w:t>Ensure discussion re: efficacy, importance of adherence, side effects, follow up, potential for drug interactions</w:t>
            </w:r>
          </w:p>
        </w:tc>
      </w:tr>
      <w:tr w:rsidR="001F0054" w:rsidRPr="001F0054" w14:paraId="26480BED" w14:textId="77777777" w:rsidTr="00022B87">
        <w:trPr>
          <w:trHeight w:val="231"/>
        </w:trPr>
        <w:tc>
          <w:tcPr>
            <w:tcW w:w="4684" w:type="dxa"/>
            <w:shd w:val="clear" w:color="auto" w:fill="FFFFFF"/>
          </w:tcPr>
          <w:p w14:paraId="3EC202C0" w14:textId="77777777" w:rsidR="001F0054" w:rsidRPr="001F0054" w:rsidRDefault="001F0054" w:rsidP="001F0054">
            <w:pPr>
              <w:rPr>
                <w:color w:val="auto"/>
                <w:sz w:val="20"/>
                <w:szCs w:val="20"/>
              </w:rPr>
            </w:pPr>
            <w:r w:rsidRPr="001F0054">
              <w:rPr>
                <w:color w:val="auto"/>
                <w:sz w:val="20"/>
                <w:szCs w:val="20"/>
              </w:rPr>
              <w:t xml:space="preserve">Using contraception Yes □   No </w:t>
            </w:r>
            <w:proofErr w:type="gramStart"/>
            <w:r w:rsidRPr="001F0054">
              <w:rPr>
                <w:color w:val="auto"/>
                <w:sz w:val="20"/>
                <w:szCs w:val="20"/>
              </w:rPr>
              <w:t>□  NA</w:t>
            </w:r>
            <w:proofErr w:type="gramEnd"/>
            <w:r w:rsidRPr="001F0054">
              <w:rPr>
                <w:color w:val="auto"/>
                <w:sz w:val="20"/>
                <w:szCs w:val="20"/>
              </w:rPr>
              <w:t xml:space="preserve"> □</w:t>
            </w:r>
          </w:p>
        </w:tc>
        <w:tc>
          <w:tcPr>
            <w:tcW w:w="5576" w:type="dxa"/>
            <w:gridSpan w:val="4"/>
            <w:vMerge/>
            <w:shd w:val="clear" w:color="auto" w:fill="FFFFFF"/>
          </w:tcPr>
          <w:p w14:paraId="33F0570B" w14:textId="77777777" w:rsidR="001F0054" w:rsidRPr="001F0054" w:rsidRDefault="001F0054" w:rsidP="001F0054">
            <w:pPr>
              <w:rPr>
                <w:color w:val="auto"/>
                <w:sz w:val="20"/>
                <w:szCs w:val="20"/>
              </w:rPr>
            </w:pPr>
          </w:p>
        </w:tc>
      </w:tr>
      <w:tr w:rsidR="001F0054" w:rsidRPr="001F0054" w14:paraId="009C996F" w14:textId="77777777" w:rsidTr="00022B87">
        <w:trPr>
          <w:trHeight w:val="295"/>
        </w:trPr>
        <w:tc>
          <w:tcPr>
            <w:tcW w:w="4684" w:type="dxa"/>
            <w:tcBorders>
              <w:bottom w:val="single" w:sz="4" w:space="0" w:color="auto"/>
            </w:tcBorders>
            <w:shd w:val="clear" w:color="auto" w:fill="FFFFFF"/>
          </w:tcPr>
          <w:p w14:paraId="34FE4F27" w14:textId="77777777" w:rsidR="001F0054" w:rsidRPr="001F0054" w:rsidRDefault="001F0054" w:rsidP="001F0054">
            <w:pPr>
              <w:rPr>
                <w:color w:val="auto"/>
                <w:sz w:val="20"/>
                <w:szCs w:val="20"/>
              </w:rPr>
            </w:pPr>
            <w:r w:rsidRPr="001F0054">
              <w:rPr>
                <w:color w:val="auto"/>
                <w:sz w:val="20"/>
                <w:szCs w:val="20"/>
              </w:rPr>
              <w:t xml:space="preserve">Pregnancy Test       Yes □   No </w:t>
            </w:r>
            <w:proofErr w:type="gramStart"/>
            <w:r w:rsidRPr="001F0054">
              <w:rPr>
                <w:color w:val="auto"/>
                <w:sz w:val="20"/>
                <w:szCs w:val="20"/>
              </w:rPr>
              <w:t>□  NA</w:t>
            </w:r>
            <w:proofErr w:type="gramEnd"/>
            <w:r w:rsidRPr="001F0054">
              <w:rPr>
                <w:color w:val="auto"/>
                <w:sz w:val="20"/>
                <w:szCs w:val="20"/>
              </w:rPr>
              <w:t xml:space="preserve">  □</w:t>
            </w:r>
          </w:p>
        </w:tc>
        <w:tc>
          <w:tcPr>
            <w:tcW w:w="5576" w:type="dxa"/>
            <w:gridSpan w:val="4"/>
            <w:vMerge/>
            <w:shd w:val="clear" w:color="auto" w:fill="FFFFFF"/>
          </w:tcPr>
          <w:p w14:paraId="1B2F4CA8" w14:textId="77777777" w:rsidR="001F0054" w:rsidRPr="001F0054" w:rsidRDefault="001F0054" w:rsidP="001F0054">
            <w:pPr>
              <w:jc w:val="center"/>
              <w:rPr>
                <w:color w:val="auto"/>
                <w:sz w:val="20"/>
                <w:szCs w:val="20"/>
              </w:rPr>
            </w:pPr>
          </w:p>
        </w:tc>
      </w:tr>
      <w:tr w:rsidR="001F0054" w:rsidRPr="001F0054" w14:paraId="4AB833E8" w14:textId="77777777" w:rsidTr="00022B87">
        <w:trPr>
          <w:trHeight w:val="294"/>
        </w:trPr>
        <w:tc>
          <w:tcPr>
            <w:tcW w:w="4684" w:type="dxa"/>
            <w:tcBorders>
              <w:bottom w:val="single" w:sz="4" w:space="0" w:color="auto"/>
            </w:tcBorders>
            <w:shd w:val="clear" w:color="auto" w:fill="FFFFFF"/>
          </w:tcPr>
          <w:p w14:paraId="12B6E6FB" w14:textId="77777777" w:rsidR="001F0054" w:rsidRPr="001F0054" w:rsidRDefault="001F0054" w:rsidP="001F0054">
            <w:pPr>
              <w:rPr>
                <w:color w:val="auto"/>
                <w:sz w:val="20"/>
                <w:szCs w:val="20"/>
              </w:rPr>
            </w:pPr>
            <w:r w:rsidRPr="001F0054">
              <w:rPr>
                <w:color w:val="auto"/>
                <w:sz w:val="20"/>
                <w:szCs w:val="20"/>
              </w:rPr>
              <w:t>Discuss (if applicable): Options/access to contraception, implications of pregnancy during treatment</w:t>
            </w:r>
          </w:p>
        </w:tc>
        <w:tc>
          <w:tcPr>
            <w:tcW w:w="5576" w:type="dxa"/>
            <w:gridSpan w:val="4"/>
            <w:vMerge/>
            <w:tcBorders>
              <w:bottom w:val="single" w:sz="4" w:space="0" w:color="auto"/>
            </w:tcBorders>
            <w:shd w:val="clear" w:color="auto" w:fill="FFFFFF"/>
          </w:tcPr>
          <w:p w14:paraId="0DC7F2BF" w14:textId="77777777" w:rsidR="001F0054" w:rsidRPr="001F0054" w:rsidRDefault="001F0054" w:rsidP="001F0054">
            <w:pPr>
              <w:jc w:val="center"/>
              <w:rPr>
                <w:color w:val="auto"/>
                <w:sz w:val="20"/>
                <w:szCs w:val="20"/>
              </w:rPr>
            </w:pPr>
          </w:p>
        </w:tc>
      </w:tr>
      <w:tr w:rsidR="001F0054" w:rsidRPr="001F0054" w14:paraId="4570117F" w14:textId="77777777" w:rsidTr="00022B87">
        <w:tc>
          <w:tcPr>
            <w:tcW w:w="10260" w:type="dxa"/>
            <w:gridSpan w:val="5"/>
            <w:tcBorders>
              <w:top w:val="single" w:sz="4" w:space="0" w:color="auto"/>
              <w:bottom w:val="single" w:sz="4" w:space="0" w:color="auto"/>
            </w:tcBorders>
            <w:shd w:val="clear" w:color="auto" w:fill="D9D9D9"/>
          </w:tcPr>
          <w:p w14:paraId="17AC3B6A" w14:textId="77777777" w:rsidR="001F0054" w:rsidRPr="001F0054" w:rsidRDefault="001F0054" w:rsidP="001F0054">
            <w:pPr>
              <w:tabs>
                <w:tab w:val="left" w:pos="3030"/>
              </w:tabs>
              <w:rPr>
                <w:b/>
                <w:color w:val="auto"/>
                <w:sz w:val="20"/>
                <w:szCs w:val="20"/>
              </w:rPr>
            </w:pPr>
            <w:r w:rsidRPr="001F0054">
              <w:rPr>
                <w:b/>
                <w:color w:val="auto"/>
                <w:sz w:val="20"/>
                <w:szCs w:val="20"/>
              </w:rPr>
              <w:t>Follow up:</w:t>
            </w:r>
            <w:r w:rsidRPr="001F0054">
              <w:rPr>
                <w:b/>
                <w:color w:val="auto"/>
                <w:sz w:val="20"/>
                <w:szCs w:val="20"/>
              </w:rPr>
              <w:tab/>
            </w:r>
          </w:p>
        </w:tc>
      </w:tr>
      <w:tr w:rsidR="001F0054" w:rsidRPr="001F0054" w14:paraId="10491766" w14:textId="77777777" w:rsidTr="00022B87">
        <w:tc>
          <w:tcPr>
            <w:tcW w:w="10260" w:type="dxa"/>
            <w:gridSpan w:val="5"/>
            <w:tcBorders>
              <w:top w:val="single" w:sz="4" w:space="0" w:color="auto"/>
              <w:bottom w:val="single" w:sz="4" w:space="0" w:color="auto"/>
            </w:tcBorders>
            <w:shd w:val="clear" w:color="auto" w:fill="FFFFFF"/>
          </w:tcPr>
          <w:p w14:paraId="775C139E" w14:textId="77777777" w:rsidR="001F0054" w:rsidRPr="001F0054" w:rsidRDefault="001F0054" w:rsidP="001F0054">
            <w:pPr>
              <w:rPr>
                <w:color w:val="auto"/>
                <w:sz w:val="20"/>
                <w:szCs w:val="20"/>
              </w:rPr>
            </w:pPr>
            <w:r w:rsidRPr="001F0054">
              <w:rPr>
                <w:color w:val="auto"/>
                <w:sz w:val="20"/>
                <w:szCs w:val="20"/>
              </w:rPr>
              <w:t xml:space="preserve">Telephone review at week 2 and 4 (or 6 weeks if </w:t>
            </w:r>
            <w:proofErr w:type="gramStart"/>
            <w:r w:rsidRPr="001F0054">
              <w:rPr>
                <w:color w:val="auto"/>
                <w:sz w:val="20"/>
                <w:szCs w:val="20"/>
              </w:rPr>
              <w:t>12 week</w:t>
            </w:r>
            <w:proofErr w:type="gramEnd"/>
            <w:r w:rsidRPr="001F0054">
              <w:rPr>
                <w:color w:val="auto"/>
                <w:sz w:val="20"/>
                <w:szCs w:val="20"/>
              </w:rPr>
              <w:t xml:space="preserve"> treatment)</w:t>
            </w:r>
          </w:p>
          <w:p w14:paraId="2269967A" w14:textId="77777777" w:rsidR="001F0054" w:rsidRPr="001F0054" w:rsidRDefault="001F0054" w:rsidP="001F0054">
            <w:pPr>
              <w:rPr>
                <w:color w:val="auto"/>
                <w:sz w:val="20"/>
                <w:szCs w:val="20"/>
              </w:rPr>
            </w:pPr>
            <w:r w:rsidRPr="001F0054">
              <w:rPr>
                <w:color w:val="auto"/>
                <w:sz w:val="20"/>
                <w:szCs w:val="20"/>
              </w:rPr>
              <w:t>Appointment for review/bloods at end of treatment and 12 weeks post treatment (SVR 12)</w:t>
            </w:r>
          </w:p>
          <w:p w14:paraId="47BE8662" w14:textId="77777777" w:rsidR="001F0054" w:rsidRPr="001F0054" w:rsidRDefault="001F0054" w:rsidP="001F0054">
            <w:pPr>
              <w:rPr>
                <w:color w:val="auto"/>
                <w:sz w:val="20"/>
                <w:szCs w:val="20"/>
              </w:rPr>
            </w:pPr>
          </w:p>
          <w:p w14:paraId="03B747AE" w14:textId="77777777" w:rsidR="001F0054" w:rsidRPr="001F0054" w:rsidRDefault="001F0054" w:rsidP="001F0054">
            <w:pPr>
              <w:rPr>
                <w:color w:val="auto"/>
                <w:sz w:val="20"/>
                <w:szCs w:val="20"/>
              </w:rPr>
            </w:pPr>
            <w:r w:rsidRPr="001F0054">
              <w:rPr>
                <w:color w:val="auto"/>
                <w:sz w:val="20"/>
                <w:szCs w:val="20"/>
              </w:rPr>
              <w:t>Repeat LFTs if abnormal pre-treatment or anti-HBc antibody +</w:t>
            </w:r>
            <w:proofErr w:type="spellStart"/>
            <w:r w:rsidRPr="001F0054">
              <w:rPr>
                <w:color w:val="auto"/>
                <w:sz w:val="20"/>
                <w:szCs w:val="20"/>
              </w:rPr>
              <w:t>ve</w:t>
            </w:r>
            <w:proofErr w:type="spellEnd"/>
          </w:p>
          <w:p w14:paraId="29459EBA" w14:textId="77777777" w:rsidR="001F0054" w:rsidRPr="001F0054" w:rsidRDefault="001F0054" w:rsidP="001F0054">
            <w:pPr>
              <w:rPr>
                <w:color w:val="auto"/>
                <w:sz w:val="20"/>
                <w:szCs w:val="20"/>
              </w:rPr>
            </w:pPr>
            <w:r w:rsidRPr="001F0054">
              <w:rPr>
                <w:color w:val="auto"/>
                <w:sz w:val="20"/>
                <w:szCs w:val="20"/>
              </w:rPr>
              <w:t>HIV antibody if ongoing BBV risk factors</w:t>
            </w:r>
          </w:p>
          <w:p w14:paraId="302ED90A" w14:textId="77777777" w:rsidR="001F0054" w:rsidRPr="001F0054" w:rsidRDefault="001F0054" w:rsidP="001F0054">
            <w:pPr>
              <w:rPr>
                <w:color w:val="auto"/>
                <w:sz w:val="20"/>
                <w:szCs w:val="20"/>
              </w:rPr>
            </w:pPr>
          </w:p>
        </w:tc>
      </w:tr>
      <w:tr w:rsidR="001F0054" w:rsidRPr="001F0054" w14:paraId="0328F88F" w14:textId="77777777" w:rsidTr="00022B87">
        <w:tc>
          <w:tcPr>
            <w:tcW w:w="10260" w:type="dxa"/>
            <w:gridSpan w:val="5"/>
            <w:tcBorders>
              <w:top w:val="single" w:sz="4" w:space="0" w:color="auto"/>
              <w:bottom w:val="single" w:sz="4" w:space="0" w:color="auto"/>
            </w:tcBorders>
            <w:shd w:val="clear" w:color="auto" w:fill="D9D9D9"/>
          </w:tcPr>
          <w:p w14:paraId="5F135176" w14:textId="77777777" w:rsidR="001F0054" w:rsidRPr="001F0054" w:rsidRDefault="001F0054" w:rsidP="001F0054">
            <w:pPr>
              <w:rPr>
                <w:b/>
                <w:color w:val="auto"/>
                <w:sz w:val="20"/>
                <w:szCs w:val="20"/>
              </w:rPr>
            </w:pPr>
            <w:r w:rsidRPr="001F0054">
              <w:rPr>
                <w:b/>
                <w:color w:val="auto"/>
                <w:sz w:val="20"/>
                <w:szCs w:val="20"/>
              </w:rPr>
              <w:t>Paediatric HCV MDT advice:</w:t>
            </w:r>
          </w:p>
        </w:tc>
      </w:tr>
      <w:tr w:rsidR="001F0054" w:rsidRPr="001F0054" w14:paraId="525D4473" w14:textId="77777777" w:rsidTr="00022B87">
        <w:tc>
          <w:tcPr>
            <w:tcW w:w="10260" w:type="dxa"/>
            <w:gridSpan w:val="5"/>
            <w:tcBorders>
              <w:top w:val="single" w:sz="4" w:space="0" w:color="auto"/>
              <w:bottom w:val="single" w:sz="4" w:space="0" w:color="auto"/>
            </w:tcBorders>
            <w:shd w:val="clear" w:color="auto" w:fill="FFFFFF"/>
          </w:tcPr>
          <w:p w14:paraId="55D42D83" w14:textId="77777777" w:rsidR="001F0054" w:rsidRPr="001F0054" w:rsidRDefault="001F0054" w:rsidP="001F0054">
            <w:pPr>
              <w:rPr>
                <w:color w:val="auto"/>
                <w:sz w:val="20"/>
                <w:szCs w:val="20"/>
              </w:rPr>
            </w:pPr>
            <w:r w:rsidRPr="001F0054">
              <w:rPr>
                <w:color w:val="auto"/>
                <w:sz w:val="20"/>
                <w:szCs w:val="20"/>
              </w:rPr>
              <w:t>Date discussed:</w:t>
            </w:r>
          </w:p>
          <w:p w14:paraId="47E2D0D6" w14:textId="77777777" w:rsidR="001F0054" w:rsidRPr="001F0054" w:rsidRDefault="001F0054" w:rsidP="001F0054">
            <w:pPr>
              <w:rPr>
                <w:color w:val="auto"/>
                <w:sz w:val="20"/>
                <w:szCs w:val="20"/>
              </w:rPr>
            </w:pPr>
            <w:r w:rsidRPr="001F0054">
              <w:rPr>
                <w:color w:val="auto"/>
                <w:sz w:val="20"/>
                <w:szCs w:val="20"/>
              </w:rPr>
              <w:t>Advice:</w:t>
            </w:r>
          </w:p>
          <w:p w14:paraId="63726ED7" w14:textId="77777777" w:rsidR="001F0054" w:rsidRPr="001F0054" w:rsidRDefault="001F0054" w:rsidP="001F0054">
            <w:pPr>
              <w:rPr>
                <w:color w:val="auto"/>
                <w:sz w:val="20"/>
                <w:szCs w:val="20"/>
              </w:rPr>
            </w:pPr>
          </w:p>
          <w:p w14:paraId="38132AC9" w14:textId="77777777" w:rsidR="001F0054" w:rsidRPr="001F0054" w:rsidRDefault="001F0054" w:rsidP="001F0054">
            <w:pPr>
              <w:rPr>
                <w:color w:val="auto"/>
                <w:sz w:val="20"/>
                <w:szCs w:val="20"/>
              </w:rPr>
            </w:pPr>
          </w:p>
        </w:tc>
      </w:tr>
    </w:tbl>
    <w:p w14:paraId="530843F1" w14:textId="77777777" w:rsidR="003A4B82" w:rsidRPr="001A4774" w:rsidRDefault="003A4B82" w:rsidP="002F374A"/>
    <w:sectPr w:rsidR="003A4B82" w:rsidRPr="001A4774" w:rsidSect="00022B87">
      <w:headerReference w:type="default" r:id="rId11"/>
      <w:footerReference w:type="default" r:id="rId12"/>
      <w:headerReference w:type="first" r:id="rId13"/>
      <w:footerReference w:type="first" r:id="rId14"/>
      <w:pgSz w:w="11906" w:h="16838"/>
      <w:pgMar w:top="1560"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3A4B82">
      <w:r>
        <w:separator/>
      </w:r>
    </w:p>
    <w:p w14:paraId="33E2A594" w14:textId="77777777" w:rsidR="00FF7344" w:rsidRDefault="00FF7344" w:rsidP="003A4B82"/>
    <w:p w14:paraId="222EE6F1" w14:textId="77777777" w:rsidR="00FF7344" w:rsidRDefault="00FF7344" w:rsidP="003A4B82"/>
    <w:p w14:paraId="1FABDBA8" w14:textId="77777777" w:rsidR="00FF7344" w:rsidRDefault="00FF7344" w:rsidP="003A4B82"/>
  </w:endnote>
  <w:endnote w:type="continuationSeparator" w:id="0">
    <w:p w14:paraId="5B7C6F6E" w14:textId="77777777" w:rsidR="00965CCC" w:rsidRDefault="00965CCC" w:rsidP="003A4B82">
      <w:r>
        <w:continuationSeparator/>
      </w:r>
    </w:p>
    <w:p w14:paraId="12CD3BA3" w14:textId="77777777" w:rsidR="00FF7344" w:rsidRDefault="00FF7344" w:rsidP="003A4B82"/>
    <w:p w14:paraId="4E842BBA" w14:textId="77777777" w:rsidR="00FF7344" w:rsidRDefault="00FF7344" w:rsidP="003A4B82"/>
    <w:p w14:paraId="70149C3A" w14:textId="77777777" w:rsidR="00FF7344" w:rsidRDefault="00FF7344"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15C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BBDF" w14:textId="77777777" w:rsidR="00A35845" w:rsidRPr="003A4B82" w:rsidRDefault="00A35845" w:rsidP="00A35845">
    <w:pPr>
      <w:rPr>
        <w:rStyle w:val="IntenseEmphasis"/>
      </w:rPr>
    </w:pPr>
    <w:r w:rsidRPr="003A4B82">
      <w:rPr>
        <w:rStyle w:val="IntenseEmphasis"/>
      </w:rPr>
      <w:t xml:space="preserve">Review: </w:t>
    </w:r>
    <w:r>
      <w:rPr>
        <w:rStyle w:val="IntenseEmphasis"/>
      </w:rPr>
      <w:t>June 2024</w:t>
    </w:r>
  </w:p>
  <w:p w14:paraId="17862F97" w14:textId="53E83161" w:rsidR="00FF7344" w:rsidRPr="00A35845" w:rsidRDefault="00A35845" w:rsidP="00A35845">
    <w:pPr>
      <w:pStyle w:val="Footer"/>
    </w:pPr>
    <w:r>
      <w:rPr>
        <w:rStyle w:val="IntenseEmphasis"/>
      </w:rPr>
      <w:t>NSD610-019.15   V1</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4</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2BB5755" w:rsidR="00E75020" w:rsidRPr="003A4B82" w:rsidRDefault="00E75020" w:rsidP="003A4B82">
    <w:pPr>
      <w:rPr>
        <w:rStyle w:val="IntenseEmphasis"/>
      </w:rPr>
    </w:pPr>
    <w:r w:rsidRPr="003A4B82">
      <w:rPr>
        <w:rStyle w:val="IntenseEmphasis"/>
      </w:rPr>
      <w:t>Review:</w:t>
    </w:r>
    <w:r w:rsidR="005A1EDC" w:rsidRPr="003A4B82">
      <w:rPr>
        <w:rStyle w:val="IntenseEmphasis"/>
      </w:rPr>
      <w:t xml:space="preserve"> </w:t>
    </w:r>
    <w:r w:rsidR="00A35845">
      <w:rPr>
        <w:rStyle w:val="IntenseEmphasis"/>
      </w:rPr>
      <w:t>June 2024</w:t>
    </w:r>
  </w:p>
  <w:p w14:paraId="4395E663" w14:textId="12039704" w:rsidR="00FF7344" w:rsidRPr="003A4B82" w:rsidRDefault="00A35845" w:rsidP="003A4B82">
    <w:pPr>
      <w:pStyle w:val="Footer"/>
    </w:pPr>
    <w:r>
      <w:rPr>
        <w:rStyle w:val="IntenseEmphasis"/>
      </w:rPr>
      <w:t>NSD610-019.15   V1</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3A4B82">
      <w:r>
        <w:separator/>
      </w:r>
    </w:p>
    <w:p w14:paraId="6DBC01C9" w14:textId="77777777" w:rsidR="00FF7344" w:rsidRDefault="00FF7344" w:rsidP="003A4B82"/>
    <w:p w14:paraId="18F5C7CF" w14:textId="77777777" w:rsidR="00FF7344" w:rsidRDefault="00FF7344" w:rsidP="003A4B82"/>
    <w:p w14:paraId="1FB3BA50" w14:textId="77777777" w:rsidR="00FF7344" w:rsidRDefault="00FF7344" w:rsidP="003A4B82"/>
  </w:footnote>
  <w:footnote w:type="continuationSeparator" w:id="0">
    <w:p w14:paraId="6FFA790C" w14:textId="77777777" w:rsidR="00965CCC" w:rsidRDefault="00965CCC" w:rsidP="003A4B82">
      <w:r>
        <w:continuationSeparator/>
      </w:r>
    </w:p>
    <w:p w14:paraId="5DD08551" w14:textId="77777777" w:rsidR="00FF7344" w:rsidRDefault="00FF7344" w:rsidP="003A4B82"/>
    <w:p w14:paraId="2C8FED60" w14:textId="77777777" w:rsidR="00FF7344" w:rsidRDefault="00FF7344" w:rsidP="003A4B82"/>
    <w:p w14:paraId="49BDED11" w14:textId="77777777" w:rsidR="00FF7344" w:rsidRDefault="00FF7344"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322C" w14:textId="77777777" w:rsidR="00A35845" w:rsidRPr="00A35845" w:rsidRDefault="00A35845" w:rsidP="00A35845">
    <w:pPr>
      <w:pStyle w:val="Header"/>
      <w:rPr>
        <w:rStyle w:val="SubtleEmphasis"/>
      </w:rPr>
    </w:pPr>
    <w:r w:rsidRPr="00A35845">
      <w:rPr>
        <w:rStyle w:val="SubtleEmphasis"/>
      </w:rPr>
      <w:t>Scottish Paediatric &amp; Adult Infection &amp; Immunology Network (SPAIIN)</w:t>
    </w:r>
  </w:p>
  <w:p w14:paraId="32384AD5" w14:textId="3311357F" w:rsidR="00382E4B" w:rsidRPr="00A35845" w:rsidRDefault="00A35845" w:rsidP="00A35845">
    <w:pPr>
      <w:pStyle w:val="Header"/>
      <w:rPr>
        <w:rStyle w:val="Emphasis"/>
        <w:rFonts w:eastAsiaTheme="minorHAnsi"/>
        <w:b/>
        <w:bCs w:val="0"/>
        <w:color w:val="000000" w:themeColor="text1"/>
        <w:lang w:eastAsia="en-US"/>
      </w:rPr>
    </w:pPr>
    <w:r w:rsidRPr="00A35845">
      <w:rPr>
        <w:rStyle w:val="SubtleEmphasis"/>
        <w:b w:val="0"/>
        <w:bCs/>
      </w:rPr>
      <w:t>Paediatric Hepatitis C Pathway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098B9EBB" w14:textId="77777777" w:rsidR="00FF7344" w:rsidRDefault="00FF7344" w:rsidP="003A4B82"/>
  <w:p w14:paraId="08E04F55" w14:textId="77777777" w:rsidR="00FF7344" w:rsidRDefault="00FF7344" w:rsidP="003A4B82"/>
  <w:p w14:paraId="533EA8C0"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4DC0"/>
    <w:multiLevelType w:val="hybridMultilevel"/>
    <w:tmpl w:val="4F5E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17"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21B6E"/>
    <w:multiLevelType w:val="hybridMultilevel"/>
    <w:tmpl w:val="CA9E8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61200"/>
    <w:multiLevelType w:val="hybridMultilevel"/>
    <w:tmpl w:val="9ED4B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6"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87E0B"/>
    <w:multiLevelType w:val="hybridMultilevel"/>
    <w:tmpl w:val="EBC6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4"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35"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903A53"/>
    <w:multiLevelType w:val="hybridMultilevel"/>
    <w:tmpl w:val="7E52A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459E3"/>
    <w:multiLevelType w:val="hybridMultilevel"/>
    <w:tmpl w:val="4170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1"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2"/>
  </w:num>
  <w:num w:numId="2" w16cid:durableId="1496602202">
    <w:abstractNumId w:val="36"/>
  </w:num>
  <w:num w:numId="3" w16cid:durableId="826942006">
    <w:abstractNumId w:val="14"/>
  </w:num>
  <w:num w:numId="4" w16cid:durableId="2045324570">
    <w:abstractNumId w:val="28"/>
  </w:num>
  <w:num w:numId="5" w16cid:durableId="1858352248">
    <w:abstractNumId w:val="25"/>
  </w:num>
  <w:num w:numId="6" w16cid:durableId="770667341">
    <w:abstractNumId w:val="5"/>
  </w:num>
  <w:num w:numId="7" w16cid:durableId="740102065">
    <w:abstractNumId w:val="21"/>
  </w:num>
  <w:num w:numId="8" w16cid:durableId="1265652528">
    <w:abstractNumId w:val="17"/>
  </w:num>
  <w:num w:numId="9" w16cid:durableId="1628588398">
    <w:abstractNumId w:val="31"/>
  </w:num>
  <w:num w:numId="10" w16cid:durableId="201744665">
    <w:abstractNumId w:val="10"/>
  </w:num>
  <w:num w:numId="11" w16cid:durableId="2052487090">
    <w:abstractNumId w:val="24"/>
  </w:num>
  <w:num w:numId="12" w16cid:durableId="969163586">
    <w:abstractNumId w:val="3"/>
  </w:num>
  <w:num w:numId="13" w16cid:durableId="107429083">
    <w:abstractNumId w:val="12"/>
  </w:num>
  <w:num w:numId="14" w16cid:durableId="17900805">
    <w:abstractNumId w:val="20"/>
  </w:num>
  <w:num w:numId="15" w16cid:durableId="1888562011">
    <w:abstractNumId w:val="4"/>
  </w:num>
  <w:num w:numId="16" w16cid:durableId="1957062262">
    <w:abstractNumId w:val="11"/>
  </w:num>
  <w:num w:numId="17" w16cid:durableId="13504803">
    <w:abstractNumId w:val="38"/>
  </w:num>
  <w:num w:numId="18" w16cid:durableId="482745875">
    <w:abstractNumId w:val="6"/>
  </w:num>
  <w:num w:numId="19" w16cid:durableId="141167886">
    <w:abstractNumId w:val="9"/>
  </w:num>
  <w:num w:numId="20" w16cid:durableId="2094888795">
    <w:abstractNumId w:val="7"/>
  </w:num>
  <w:num w:numId="21" w16cid:durableId="732392723">
    <w:abstractNumId w:val="29"/>
  </w:num>
  <w:num w:numId="22" w16cid:durableId="1159468105">
    <w:abstractNumId w:val="33"/>
  </w:num>
  <w:num w:numId="23" w16cid:durableId="547767506">
    <w:abstractNumId w:val="35"/>
  </w:num>
  <w:num w:numId="24" w16cid:durableId="1462459083">
    <w:abstractNumId w:val="15"/>
  </w:num>
  <w:num w:numId="25" w16cid:durableId="1533155488">
    <w:abstractNumId w:val="19"/>
  </w:num>
  <w:num w:numId="26" w16cid:durableId="821579547">
    <w:abstractNumId w:val="41"/>
  </w:num>
  <w:num w:numId="27" w16cid:durableId="1831408529">
    <w:abstractNumId w:val="26"/>
  </w:num>
  <w:num w:numId="28" w16cid:durableId="707728401">
    <w:abstractNumId w:val="8"/>
  </w:num>
  <w:num w:numId="29" w16cid:durableId="1583098288">
    <w:abstractNumId w:val="18"/>
  </w:num>
  <w:num w:numId="30" w16cid:durableId="22639150">
    <w:abstractNumId w:val="30"/>
  </w:num>
  <w:num w:numId="31" w16cid:durableId="834960158">
    <w:abstractNumId w:val="1"/>
  </w:num>
  <w:num w:numId="32" w16cid:durableId="156188046">
    <w:abstractNumId w:val="27"/>
  </w:num>
  <w:num w:numId="33" w16cid:durableId="751439618">
    <w:abstractNumId w:val="16"/>
  </w:num>
  <w:num w:numId="34" w16cid:durableId="1650984602">
    <w:abstractNumId w:val="34"/>
  </w:num>
  <w:num w:numId="35" w16cid:durableId="1836870721">
    <w:abstractNumId w:val="40"/>
  </w:num>
  <w:num w:numId="36" w16cid:durableId="1459909323">
    <w:abstractNumId w:val="0"/>
  </w:num>
  <w:num w:numId="37" w16cid:durableId="400713189">
    <w:abstractNumId w:val="13"/>
  </w:num>
  <w:num w:numId="38" w16cid:durableId="850530835">
    <w:abstractNumId w:val="22"/>
  </w:num>
  <w:num w:numId="39" w16cid:durableId="415173345">
    <w:abstractNumId w:val="37"/>
  </w:num>
  <w:num w:numId="40" w16cid:durableId="76635125">
    <w:abstractNumId w:val="2"/>
  </w:num>
  <w:num w:numId="41" w16cid:durableId="2109278496">
    <w:abstractNumId w:val="32"/>
  </w:num>
  <w:num w:numId="42" w16cid:durableId="809903429">
    <w:abstractNumId w:val="23"/>
  </w:num>
  <w:num w:numId="43" w16cid:durableId="18694900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2B87"/>
    <w:rsid w:val="00025B02"/>
    <w:rsid w:val="00032C55"/>
    <w:rsid w:val="00036824"/>
    <w:rsid w:val="0003731A"/>
    <w:rsid w:val="00050EA6"/>
    <w:rsid w:val="0005672E"/>
    <w:rsid w:val="00094FC9"/>
    <w:rsid w:val="001166B5"/>
    <w:rsid w:val="00162C2C"/>
    <w:rsid w:val="001A4774"/>
    <w:rsid w:val="001A487F"/>
    <w:rsid w:val="001A71ED"/>
    <w:rsid w:val="001B4068"/>
    <w:rsid w:val="001C3967"/>
    <w:rsid w:val="001D1B20"/>
    <w:rsid w:val="001F0054"/>
    <w:rsid w:val="001F6C59"/>
    <w:rsid w:val="0020605E"/>
    <w:rsid w:val="00221AEE"/>
    <w:rsid w:val="0023787D"/>
    <w:rsid w:val="00243032"/>
    <w:rsid w:val="00245111"/>
    <w:rsid w:val="00295F59"/>
    <w:rsid w:val="002B31E6"/>
    <w:rsid w:val="002C7683"/>
    <w:rsid w:val="002F374A"/>
    <w:rsid w:val="003259EB"/>
    <w:rsid w:val="003519F4"/>
    <w:rsid w:val="00371997"/>
    <w:rsid w:val="00382E4B"/>
    <w:rsid w:val="00384B46"/>
    <w:rsid w:val="00392132"/>
    <w:rsid w:val="003A2C06"/>
    <w:rsid w:val="003A4B82"/>
    <w:rsid w:val="003B5EC3"/>
    <w:rsid w:val="003D4CA1"/>
    <w:rsid w:val="003F5E0D"/>
    <w:rsid w:val="00414C9C"/>
    <w:rsid w:val="00417CE0"/>
    <w:rsid w:val="00457071"/>
    <w:rsid w:val="00472D90"/>
    <w:rsid w:val="004A4F18"/>
    <w:rsid w:val="00532963"/>
    <w:rsid w:val="00535327"/>
    <w:rsid w:val="005526F3"/>
    <w:rsid w:val="005A1EDC"/>
    <w:rsid w:val="005A3C7F"/>
    <w:rsid w:val="005C3338"/>
    <w:rsid w:val="005C7FDD"/>
    <w:rsid w:val="005E664B"/>
    <w:rsid w:val="005F44B0"/>
    <w:rsid w:val="0062327F"/>
    <w:rsid w:val="00634E88"/>
    <w:rsid w:val="00641E11"/>
    <w:rsid w:val="006827B9"/>
    <w:rsid w:val="00682E4F"/>
    <w:rsid w:val="006843A9"/>
    <w:rsid w:val="006F0B75"/>
    <w:rsid w:val="007D0D7E"/>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35845"/>
    <w:rsid w:val="00A70944"/>
    <w:rsid w:val="00AA0C8F"/>
    <w:rsid w:val="00AA4213"/>
    <w:rsid w:val="00AC78E1"/>
    <w:rsid w:val="00AE514B"/>
    <w:rsid w:val="00B049BA"/>
    <w:rsid w:val="00B61AD9"/>
    <w:rsid w:val="00B6404B"/>
    <w:rsid w:val="00BA372B"/>
    <w:rsid w:val="00BF7474"/>
    <w:rsid w:val="00C10D8B"/>
    <w:rsid w:val="00C36CE7"/>
    <w:rsid w:val="00C63425"/>
    <w:rsid w:val="00C81BE9"/>
    <w:rsid w:val="00C95390"/>
    <w:rsid w:val="00CB0B9B"/>
    <w:rsid w:val="00CC1230"/>
    <w:rsid w:val="00D60669"/>
    <w:rsid w:val="00D74871"/>
    <w:rsid w:val="00DD1A99"/>
    <w:rsid w:val="00DE078E"/>
    <w:rsid w:val="00E05122"/>
    <w:rsid w:val="00E4686A"/>
    <w:rsid w:val="00E72699"/>
    <w:rsid w:val="00E75020"/>
    <w:rsid w:val="00EC23F5"/>
    <w:rsid w:val="00EE2B12"/>
    <w:rsid w:val="00EE4195"/>
    <w:rsid w:val="00F277C7"/>
    <w:rsid w:val="00F41042"/>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1403</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2023-06-29T11:19:00Z</dcterms:created>
  <dcterms:modified xsi:type="dcterms:W3CDTF">2023-06-29T11:19:00Z</dcterms:modified>
</cp:coreProperties>
</file>